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eastAsia" w:ascii="方正仿宋简体" w:hAnsi="宋体" w:eastAsia="方正仿宋简体"/>
          <w:szCs w:val="32"/>
        </w:rPr>
      </w:pPr>
    </w:p>
    <w:p>
      <w:pPr>
        <w:snapToGrid w:val="0"/>
        <w:spacing w:line="570" w:lineRule="exact"/>
        <w:jc w:val="center"/>
        <w:rPr>
          <w:rFonts w:hint="eastAsia" w:ascii="方正仿宋简体" w:hAnsi="宋体" w:eastAsia="方正仿宋简体"/>
          <w:szCs w:val="32"/>
        </w:rPr>
      </w:pPr>
    </w:p>
    <w:p>
      <w:pPr>
        <w:keepNext w:val="0"/>
        <w:keepLines w:val="0"/>
        <w:pageBreakBefore w:val="0"/>
        <w:widowControl w:val="0"/>
        <w:kinsoku/>
        <w:wordWrap/>
        <w:overflowPunct/>
        <w:topLinePunct w:val="0"/>
        <w:autoSpaceDE/>
        <w:autoSpaceDN/>
        <w:bidi w:val="0"/>
        <w:adjustRightInd/>
        <w:snapToGrid w:val="0"/>
        <w:spacing w:line="550" w:lineRule="exact"/>
        <w:jc w:val="center"/>
        <w:textAlignment w:val="auto"/>
        <w:rPr>
          <w:rFonts w:hint="eastAsia" w:ascii="方正仿宋简体" w:hAnsi="宋体" w:eastAsia="方正仿宋简体"/>
          <w:szCs w:val="32"/>
        </w:rPr>
      </w:pPr>
    </w:p>
    <w:p>
      <w:pPr>
        <w:snapToGrid w:val="0"/>
        <w:spacing w:line="570" w:lineRule="exact"/>
        <w:jc w:val="center"/>
        <w:rPr>
          <w:rFonts w:hint="eastAsia" w:ascii="方正仿宋简体" w:hAnsi="宋体" w:eastAsia="方正仿宋简体"/>
          <w:szCs w:val="32"/>
        </w:rPr>
      </w:pPr>
    </w:p>
    <w:p>
      <w:pPr>
        <w:pStyle w:val="12"/>
        <w:rPr>
          <w:rFonts w:hint="eastAsia"/>
        </w:rPr>
      </w:pPr>
    </w:p>
    <w:p>
      <w:pPr>
        <w:snapToGrid w:val="0"/>
        <w:spacing w:line="340" w:lineRule="exact"/>
        <w:jc w:val="center"/>
        <w:rPr>
          <w:rFonts w:hint="eastAsia" w:ascii="方正仿宋简体" w:hAnsi="宋体" w:eastAsia="方正仿宋简体"/>
          <w:szCs w:val="32"/>
        </w:rPr>
      </w:pPr>
    </w:p>
    <w:p>
      <w:pPr>
        <w:keepNext w:val="0"/>
        <w:keepLines w:val="0"/>
        <w:pageBreakBefore w:val="0"/>
        <w:widowControl w:val="0"/>
        <w:kinsoku/>
        <w:wordWrap/>
        <w:overflowPunct/>
        <w:topLinePunct w:val="0"/>
        <w:autoSpaceDE/>
        <w:autoSpaceDN/>
        <w:bidi w:val="0"/>
        <w:adjustRightInd/>
        <w:snapToGrid w:val="0"/>
        <w:spacing w:after="781" w:afterLines="250" w:line="280" w:lineRule="exact"/>
        <w:jc w:val="center"/>
        <w:textAlignment w:val="auto"/>
        <w:rPr>
          <w:rFonts w:hint="eastAsia" w:ascii="方正仿宋简体" w:hAnsi="宋体" w:eastAsia="方正仿宋简体"/>
          <w:szCs w:val="32"/>
        </w:rPr>
      </w:pPr>
    </w:p>
    <w:p>
      <w:pPr>
        <w:snapToGrid w:val="0"/>
        <w:spacing w:line="400" w:lineRule="exact"/>
        <w:jc w:val="center"/>
        <w:rPr>
          <w:rFonts w:hint="eastAsia" w:ascii="方正仿宋简体" w:hAnsi="宋体" w:eastAsia="方正仿宋简体"/>
          <w:szCs w:val="32"/>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0" w:firstLineChars="0"/>
        <w:jc w:val="center"/>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安政办〔2022〕20号</w:t>
      </w:r>
    </w:p>
    <w:p>
      <w:pPr>
        <w:keepNext w:val="0"/>
        <w:keepLines w:val="0"/>
        <w:pageBreakBefore w:val="0"/>
        <w:widowControl w:val="0"/>
        <w:kinsoku/>
        <w:wordWrap/>
        <w:overflowPunct/>
        <w:topLinePunct w:val="0"/>
        <w:autoSpaceDE/>
        <w:autoSpaceDN/>
        <w:bidi w:val="0"/>
        <w:adjustRightInd/>
        <w:snapToGrid w:val="0"/>
        <w:spacing w:after="157" w:afterLines="50" w:line="560" w:lineRule="exact"/>
        <w:ind w:right="-142"/>
        <w:jc w:val="center"/>
        <w:textAlignment w:val="auto"/>
        <w:rPr>
          <w:rFonts w:hint="eastAsia" w:ascii="仿宋_GB2312"/>
        </w:rPr>
      </w:pPr>
    </w:p>
    <w:p>
      <w:pPr>
        <w:spacing w:line="60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安溪县人民政府办公室关于印发安溪县</w:t>
      </w:r>
    </w:p>
    <w:p>
      <w:pPr>
        <w:spacing w:line="60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农村生活污水提升治理五年行动方案</w:t>
      </w:r>
    </w:p>
    <w:p>
      <w:pPr>
        <w:pStyle w:val="2"/>
        <w:spacing w:line="600" w:lineRule="exact"/>
        <w:jc w:val="center"/>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（2021-2025年）的通知</w:t>
      </w:r>
    </w:p>
    <w:p>
      <w:pPr>
        <w:pStyle w:val="2"/>
        <w:ind w:left="0" w:leftChars="0" w:firstLine="0" w:firstLineChars="0"/>
        <w:rPr>
          <w:rFonts w:hint="eastAsia"/>
        </w:rPr>
      </w:pPr>
    </w:p>
    <w:p>
      <w:pPr>
        <w:widowControl/>
        <w:spacing w:line="440" w:lineRule="exact"/>
        <w:jc w:val="left"/>
        <w:rPr>
          <w:rFonts w:hint="eastAsia" w:ascii="仿宋_GB2312" w:hAnsi="仿宋_GB2312" w:eastAsia="仿宋_GB2312" w:cs="仿宋_GB2312"/>
          <w:b w:val="0"/>
          <w:bCs w:val="0"/>
          <w:sz w:val="32"/>
          <w:szCs w:val="32"/>
          <w:lang w:val="en-US" w:eastAsia="zh-CN"/>
        </w:rPr>
      </w:pPr>
      <w:r>
        <w:rPr>
          <w:rFonts w:hint="eastAsia" w:ascii="仿宋_GB2312" w:hAnsi="Times New Roman" w:eastAsia="仿宋_GB2312"/>
          <w:sz w:val="32"/>
          <w:szCs w:val="32"/>
        </w:rPr>
        <w:t>各乡镇人民政府</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县直有关单位：</w:t>
      </w:r>
    </w:p>
    <w:p>
      <w:pPr>
        <w:spacing w:line="600" w:lineRule="exact"/>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《安溪县农村生活污水提升治理五年行动方案（2021-2025年）》已经县政府第5次常务会议研究同意，现印发给你们，请认真贯彻执行。</w:t>
      </w:r>
    </w:p>
    <w:p>
      <w:pPr>
        <w:pStyle w:val="2"/>
        <w:spacing w:line="600" w:lineRule="exact"/>
        <w:ind w:firstLine="640"/>
        <w:rPr>
          <w:rFonts w:hint="default" w:ascii="仿宋_GB2312" w:hAnsi="仿宋_GB2312" w:eastAsia="仿宋_GB2312" w:cs="仿宋_GB2312"/>
          <w:b w:val="0"/>
          <w:bCs w:val="0"/>
          <w:sz w:val="32"/>
          <w:szCs w:val="32"/>
          <w:lang w:val="en-US" w:eastAsia="zh-CN"/>
        </w:rPr>
      </w:pPr>
    </w:p>
    <w:p>
      <w:pPr>
        <w:pStyle w:val="2"/>
        <w:spacing w:line="600" w:lineRule="exact"/>
        <w:ind w:firstLine="64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安溪县人民政府办公室</w:t>
      </w:r>
    </w:p>
    <w:p>
      <w:pPr>
        <w:pStyle w:val="2"/>
        <w:spacing w:line="600" w:lineRule="exact"/>
        <w:ind w:firstLine="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2022年3月9日  </w:t>
      </w:r>
    </w:p>
    <w:p>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仿宋_GB2312" w:hAnsi="仿宋_GB2312" w:eastAsia="仿宋_GB2312" w:cs="仿宋_GB2312"/>
          <w:sz w:val="32"/>
          <w:szCs w:val="32"/>
        </w:rPr>
      </w:pPr>
    </w:p>
    <w:p>
      <w:pPr>
        <w:pStyle w:val="3"/>
        <w:ind w:left="0" w:leftChars="0" w:firstLine="0" w:firstLineChars="0"/>
        <w:rPr>
          <w:rFonts w:hint="eastAsia" w:ascii="宋体" w:cs="宋体"/>
          <w:sz w:val="24"/>
        </w:rPr>
      </w:pPr>
      <w:r>
        <w:rPr>
          <w:rFonts w:hint="eastAsia" w:ascii="仿宋_GB2312" w:hAnsi="仿宋_GB2312" w:eastAsia="仿宋_GB2312" w:cs="仿宋_GB2312"/>
          <w:sz w:val="32"/>
          <w:szCs w:val="32"/>
        </w:rPr>
        <w:t>（此件公开</w:t>
      </w:r>
      <w:r>
        <w:rPr>
          <w:rFonts w:hint="eastAsia" w:ascii="仿宋_GB2312" w:hAnsi="仿宋_GB2312" w:eastAsia="仿宋_GB2312" w:cs="仿宋_GB2312"/>
          <w:sz w:val="32"/>
          <w:szCs w:val="32"/>
          <w:lang w:eastAsia="zh-CN"/>
        </w:rPr>
        <w:t>发布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7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spacing w:line="57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sz w:val="44"/>
          <w:szCs w:val="44"/>
          <w:lang w:eastAsia="zh-CN"/>
        </w:rPr>
      </w:pPr>
      <w:bookmarkStart w:id="2" w:name="_GoBack"/>
      <w:bookmarkEnd w:id="2"/>
      <w:r>
        <w:rPr>
          <w:rFonts w:hint="eastAsia" w:ascii="方正小标宋简体" w:hAnsi="方正小标宋简体" w:eastAsia="方正小标宋简体" w:cs="方正小标宋简体"/>
          <w:b w:val="0"/>
          <w:bCs w:val="0"/>
          <w:sz w:val="44"/>
          <w:szCs w:val="44"/>
          <w:lang w:eastAsia="zh-CN"/>
        </w:rPr>
        <w:t>安溪县</w:t>
      </w:r>
      <w:r>
        <w:rPr>
          <w:rFonts w:hint="eastAsia" w:ascii="方正小标宋简体" w:hAnsi="方正小标宋简体" w:eastAsia="方正小标宋简体" w:cs="方正小标宋简体"/>
          <w:b w:val="0"/>
          <w:bCs w:val="0"/>
          <w:sz w:val="44"/>
          <w:szCs w:val="44"/>
        </w:rPr>
        <w:t>农村生活污水提升治理五年行动方案（2021-2025年）</w:t>
      </w:r>
    </w:p>
    <w:p>
      <w:pPr>
        <w:keepNext w:val="0"/>
        <w:keepLines w:val="0"/>
        <w:pageBreakBefore w:val="0"/>
        <w:widowControl w:val="0"/>
        <w:kinsoku/>
        <w:wordWrap/>
        <w:overflowPunct/>
        <w:topLinePunct w:val="0"/>
        <w:autoSpaceDE/>
        <w:autoSpaceDN/>
        <w:bidi w:val="0"/>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农村生活污水治理是实施乡村振兴战略的重要举措，是农村人居环境整治的突出短板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为加快补齐短板，改善农村人居环境，促进乡村振兴，根据《</w:t>
      </w:r>
      <w:r>
        <w:rPr>
          <w:rFonts w:hint="eastAsia" w:ascii="仿宋_GB2312" w:hAnsi="仿宋_GB2312" w:eastAsia="仿宋_GB2312" w:cs="仿宋_GB2312"/>
          <w:sz w:val="32"/>
          <w:szCs w:val="32"/>
          <w:lang w:eastAsia="zh-CN"/>
        </w:rPr>
        <w:t>泉州市</w:t>
      </w:r>
      <w:r>
        <w:rPr>
          <w:rFonts w:hint="eastAsia" w:ascii="仿宋_GB2312" w:hAnsi="仿宋_GB2312" w:eastAsia="仿宋_GB2312" w:cs="仿宋_GB2312"/>
          <w:sz w:val="32"/>
          <w:szCs w:val="32"/>
        </w:rPr>
        <w:t>农村生活污水提升治理五年行动计划（2021-2025年）》（</w:t>
      </w:r>
      <w:r>
        <w:rPr>
          <w:rFonts w:hint="eastAsia" w:ascii="仿宋_GB2312" w:hAnsi="仿宋_GB2312" w:eastAsia="仿宋_GB2312" w:cs="仿宋_GB2312"/>
          <w:sz w:val="32"/>
          <w:szCs w:val="32"/>
          <w:lang w:eastAsia="zh-CN"/>
        </w:rPr>
        <w:t>泉</w:t>
      </w:r>
      <w:r>
        <w:rPr>
          <w:rFonts w:hint="eastAsia" w:ascii="仿宋_GB2312" w:hAnsi="仿宋_GB2312" w:eastAsia="仿宋_GB2312" w:cs="仿宋_GB2312"/>
          <w:sz w:val="32"/>
          <w:szCs w:val="32"/>
        </w:rPr>
        <w:t>政办〔202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号），结合我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实际，制定本方案。</w:t>
      </w:r>
    </w:p>
    <w:p>
      <w:pPr>
        <w:keepNext w:val="0"/>
        <w:keepLines w:val="0"/>
        <w:pageBreakBefore w:val="0"/>
        <w:widowControl w:val="0"/>
        <w:kinsoku/>
        <w:wordWrap/>
        <w:overflowPunct/>
        <w:topLinePunct w:val="0"/>
        <w:autoSpaceDE/>
        <w:autoSpaceDN/>
        <w:bidi w:val="0"/>
        <w:spacing w:line="570" w:lineRule="exact"/>
        <w:ind w:left="0" w:leftChars="0" w:right="0" w:rightChars="0" w:firstLine="640" w:firstLineChars="200"/>
        <w:jc w:val="both"/>
        <w:textAlignment w:val="auto"/>
        <w:outlineLvl w:val="9"/>
        <w:rPr>
          <w:rFonts w:hint="eastAsia" w:ascii="黑体" w:hAnsi="黑体" w:eastAsia="黑体" w:cs="黑体"/>
          <w:bCs/>
          <w:sz w:val="32"/>
          <w:szCs w:val="32"/>
          <w:highlight w:val="none"/>
        </w:rPr>
      </w:pPr>
      <w:r>
        <w:rPr>
          <w:rFonts w:hint="eastAsia" w:ascii="黑体" w:hAnsi="黑体" w:eastAsia="黑体" w:cs="黑体"/>
          <w:bCs/>
          <w:sz w:val="32"/>
          <w:szCs w:val="32"/>
          <w:highlight w:val="none"/>
        </w:rPr>
        <w:t>一、</w:t>
      </w:r>
      <w:r>
        <w:rPr>
          <w:rFonts w:hint="eastAsia" w:ascii="黑体" w:hAnsi="黑体" w:eastAsia="黑体" w:cs="黑体"/>
          <w:bCs/>
          <w:sz w:val="32"/>
          <w:szCs w:val="32"/>
          <w:highlight w:val="none"/>
          <w:lang w:val="en-US" w:eastAsia="zh-CN"/>
        </w:rPr>
        <w:t>总体目标</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以习近平新时代中国特色社会主义思想为指导，深入贯彻党的十九大和十九届</w:t>
      </w:r>
      <w:r>
        <w:rPr>
          <w:rFonts w:hint="eastAsia" w:ascii="仿宋_GB2312" w:hAnsi="仿宋_GB2312" w:eastAsia="仿宋_GB2312" w:cs="仿宋_GB2312"/>
          <w:sz w:val="32"/>
          <w:szCs w:val="32"/>
          <w:lang w:val="en-US" w:eastAsia="zh-CN"/>
        </w:rPr>
        <w:t>历次</w:t>
      </w:r>
      <w:r>
        <w:rPr>
          <w:rFonts w:hint="eastAsia" w:ascii="仿宋_GB2312" w:hAnsi="仿宋_GB2312" w:eastAsia="仿宋_GB2312" w:cs="仿宋_GB2312"/>
          <w:sz w:val="32"/>
          <w:szCs w:val="32"/>
        </w:rPr>
        <w:t>全会精神，</w:t>
      </w:r>
      <w:r>
        <w:rPr>
          <w:rFonts w:hint="eastAsia" w:ascii="仿宋_GB2312" w:hAnsi="仿宋_GB2312" w:eastAsia="仿宋_GB2312" w:cs="仿宋_GB2312"/>
          <w:kern w:val="2"/>
          <w:sz w:val="32"/>
          <w:szCs w:val="32"/>
          <w:lang w:val="en-US" w:eastAsia="zh-CN" w:bidi="ar-SA"/>
        </w:rPr>
        <w:t>认真贯彻落实习近平总书记来闽考察重要讲话精神，</w:t>
      </w:r>
      <w:r>
        <w:rPr>
          <w:rFonts w:hint="eastAsia" w:ascii="仿宋_GB2312" w:hAnsi="仿宋_GB2312" w:eastAsia="仿宋_GB2312" w:cs="仿宋_GB2312"/>
          <w:sz w:val="32"/>
          <w:szCs w:val="32"/>
        </w:rPr>
        <w:t>坚持属地主责、因地制宜、梯次推进、建管并重、市场运作</w:t>
      </w:r>
      <w:r>
        <w:rPr>
          <w:rFonts w:hint="eastAsia" w:ascii="仿宋_GB2312" w:hAnsi="仿宋_GB2312" w:eastAsia="仿宋_GB2312" w:cs="仿宋_GB2312"/>
          <w:sz w:val="32"/>
          <w:szCs w:val="32"/>
          <w:lang w:val="en-US" w:eastAsia="zh-CN"/>
        </w:rPr>
        <w:t>的原则</w:t>
      </w:r>
      <w:r>
        <w:rPr>
          <w:rFonts w:hint="eastAsia" w:ascii="仿宋_GB2312" w:hAnsi="仿宋_GB2312" w:eastAsia="仿宋_GB2312" w:cs="仿宋_GB2312"/>
          <w:sz w:val="32"/>
          <w:szCs w:val="32"/>
        </w:rPr>
        <w:t>，分年度推进</w:t>
      </w:r>
      <w:r>
        <w:rPr>
          <w:rFonts w:hint="eastAsia" w:ascii="仿宋_GB2312" w:hAnsi="仿宋_GB2312" w:eastAsia="仿宋_GB2312" w:cs="仿宋_GB2312"/>
          <w:sz w:val="32"/>
          <w:szCs w:val="32"/>
          <w:lang w:val="en-US" w:eastAsia="zh-CN"/>
        </w:rPr>
        <w:t>实施新一轮</w:t>
      </w:r>
      <w:r>
        <w:rPr>
          <w:rFonts w:hint="eastAsia" w:ascii="仿宋_GB2312" w:hAnsi="仿宋_GB2312" w:eastAsia="仿宋_GB2312" w:cs="仿宋_GB2312"/>
          <w:sz w:val="32"/>
          <w:szCs w:val="32"/>
        </w:rPr>
        <w:t>农村生活污水提升治理，</w:t>
      </w:r>
      <w:r>
        <w:rPr>
          <w:rFonts w:hint="eastAsia" w:ascii="仿宋_GB2312" w:hAnsi="仿宋_GB2312" w:eastAsia="仿宋_GB2312" w:cs="仿宋_GB2312"/>
          <w:sz w:val="32"/>
          <w:szCs w:val="32"/>
          <w:lang w:val="en-US" w:eastAsia="zh-CN"/>
        </w:rPr>
        <w:t>为持续改善农村人居环境、促进乡村振兴提供重要基础支撑</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到2021年底，完成农村生活污水提升治理前期工作，完成确定农村生活污水提升治理实施主体，组建专业公司统一负责农村生活污水治理项目“投、建、管、运”，实行专业化建设企业化管理。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2021年至2025年按计划分年度实施农村生活污水提升治理，按提升治理要求，采用</w:t>
      </w:r>
      <w:r>
        <w:rPr>
          <w:rFonts w:hint="eastAsia" w:ascii="仿宋_GB2312" w:hAnsi="仿宋_GB2312" w:eastAsia="仿宋_GB2312" w:cs="仿宋_GB2312"/>
          <w:sz w:val="32"/>
          <w:szCs w:val="32"/>
        </w:rPr>
        <w:t>纳厂</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集中</w:t>
      </w:r>
      <w:r>
        <w:rPr>
          <w:rFonts w:hint="eastAsia" w:ascii="仿宋_GB2312" w:hAnsi="仿宋_GB2312" w:eastAsia="仿宋_GB2312" w:cs="仿宋_GB2312"/>
          <w:sz w:val="32"/>
          <w:szCs w:val="32"/>
          <w:lang w:val="en-US" w:eastAsia="zh-CN"/>
        </w:rPr>
        <w:t>方式治理村庄，农户</w:t>
      </w:r>
      <w:r>
        <w:rPr>
          <w:rFonts w:hint="eastAsia" w:ascii="仿宋_GB2312" w:hAnsi="仿宋_GB2312" w:eastAsia="仿宋_GB2312" w:cs="仿宋_GB2312"/>
          <w:sz w:val="32"/>
          <w:szCs w:val="32"/>
        </w:rPr>
        <w:t>三格化粪池尾水、厨房废水、洗涤废水等三股污水全收集处理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采用分散治理村庄，农户三格化粪池尾水按要求排入林地农田消纳。</w:t>
      </w:r>
      <w:r>
        <w:rPr>
          <w:rFonts w:hint="eastAsia" w:ascii="仿宋_GB2312" w:hAnsi="仿宋_GB2312" w:eastAsia="仿宋_GB2312" w:cs="仿宋_GB2312"/>
          <w:sz w:val="32"/>
          <w:szCs w:val="32"/>
        </w:rPr>
        <w:t>完成提升治理的村庄，通过“纳厂、集中、分散”实现</w:t>
      </w:r>
      <w:r>
        <w:rPr>
          <w:rFonts w:hint="eastAsia" w:ascii="仿宋_GB2312" w:hAnsi="仿宋_GB2312" w:eastAsia="仿宋_GB2312" w:cs="仿宋_GB2312"/>
          <w:sz w:val="32"/>
          <w:szCs w:val="32"/>
          <w:lang w:val="en-US" w:eastAsia="zh-CN"/>
        </w:rPr>
        <w:t>污水治理</w:t>
      </w:r>
      <w:r>
        <w:rPr>
          <w:rFonts w:hint="eastAsia" w:ascii="仿宋_GB2312" w:hAnsi="仿宋_GB2312" w:eastAsia="仿宋_GB2312" w:cs="仿宋_GB2312"/>
          <w:sz w:val="32"/>
          <w:szCs w:val="32"/>
        </w:rPr>
        <w:t>的总户数须占该村庄常住户数90%以上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到2025年，</w:t>
      </w:r>
      <w:r>
        <w:rPr>
          <w:rFonts w:hint="eastAsia" w:ascii="仿宋_GB2312" w:hAnsi="仿宋_GB2312" w:eastAsia="仿宋_GB2312" w:cs="仿宋_GB2312"/>
          <w:sz w:val="32"/>
          <w:szCs w:val="32"/>
          <w:lang w:val="en-US" w:eastAsia="zh-CN"/>
        </w:rPr>
        <w:t>完成</w:t>
      </w:r>
      <w:r>
        <w:rPr>
          <w:rFonts w:hint="eastAsia" w:ascii="仿宋_GB2312" w:hAnsi="仿宋_GB2312" w:eastAsia="仿宋_GB2312" w:cs="仿宋_GB2312"/>
          <w:sz w:val="32"/>
          <w:szCs w:val="32"/>
        </w:rPr>
        <w:t>转型融合城郊类、集聚提升中心类、保护开发特色类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环</w:t>
      </w:r>
      <w:r>
        <w:rPr>
          <w:rFonts w:hint="eastAsia" w:ascii="仿宋_GB2312" w:hAnsi="仿宋_GB2312" w:eastAsia="仿宋_GB2312" w:cs="仿宋_GB2312"/>
          <w:sz w:val="32"/>
          <w:szCs w:val="32"/>
          <w:highlight w:val="none"/>
        </w:rPr>
        <w:t>境问题突出</w:t>
      </w:r>
      <w:r>
        <w:rPr>
          <w:rFonts w:hint="eastAsia" w:ascii="仿宋_GB2312" w:hAnsi="仿宋_GB2312" w:eastAsia="仿宋_GB2312" w:cs="仿宋_GB2312"/>
          <w:sz w:val="32"/>
          <w:szCs w:val="32"/>
          <w:highlight w:val="none"/>
          <w:lang w:val="en-US" w:eastAsia="zh-CN"/>
        </w:rPr>
        <w:t>类和</w:t>
      </w:r>
      <w:r>
        <w:rPr>
          <w:rFonts w:hint="eastAsia" w:ascii="仿宋_GB2312" w:hAnsi="仿宋_GB2312" w:eastAsia="仿宋_GB2312" w:cs="仿宋_GB2312"/>
          <w:sz w:val="32"/>
          <w:szCs w:val="32"/>
          <w:highlight w:val="none"/>
        </w:rPr>
        <w:t>乡村振兴试点</w:t>
      </w:r>
      <w:r>
        <w:rPr>
          <w:rFonts w:hint="eastAsia" w:ascii="仿宋_GB2312" w:hAnsi="仿宋_GB2312" w:eastAsia="仿宋_GB2312" w:cs="仿宋_GB2312"/>
          <w:sz w:val="32"/>
          <w:szCs w:val="32"/>
          <w:highlight w:val="none"/>
          <w:lang w:val="en-US" w:eastAsia="zh-CN"/>
        </w:rPr>
        <w:t>村</w:t>
      </w:r>
      <w:r>
        <w:rPr>
          <w:rFonts w:hint="eastAsia" w:ascii="仿宋_GB2312" w:hAnsi="仿宋_GB2312" w:eastAsia="仿宋_GB2312" w:cs="仿宋_GB2312"/>
          <w:sz w:val="32"/>
          <w:szCs w:val="32"/>
          <w:highlight w:val="none"/>
        </w:rPr>
        <w:t>等</w:t>
      </w:r>
      <w:r>
        <w:rPr>
          <w:rFonts w:hint="eastAsia" w:ascii="仿宋_GB2312" w:hAnsi="仿宋_GB2312" w:eastAsia="仿宋_GB2312" w:cs="仿宋_GB2312"/>
          <w:sz w:val="32"/>
          <w:szCs w:val="32"/>
        </w:rPr>
        <w:t>重点村庄</w:t>
      </w:r>
      <w:r>
        <w:rPr>
          <w:rFonts w:hint="eastAsia" w:ascii="仿宋_GB2312" w:hAnsi="仿宋_GB2312" w:eastAsia="仿宋_GB2312" w:cs="仿宋_GB2312"/>
          <w:sz w:val="32"/>
          <w:szCs w:val="32"/>
          <w:lang w:val="en-US" w:eastAsia="zh-CN"/>
        </w:rPr>
        <w:t>提升</w:t>
      </w:r>
      <w:r>
        <w:rPr>
          <w:rFonts w:hint="eastAsia" w:ascii="仿宋_GB2312" w:hAnsi="仿宋_GB2312" w:eastAsia="仿宋_GB2312" w:cs="仿宋_GB2312"/>
          <w:sz w:val="32"/>
          <w:szCs w:val="32"/>
        </w:rPr>
        <w:t>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全县完成提升治理村庄</w:t>
      </w:r>
      <w:r>
        <w:rPr>
          <w:rFonts w:hint="eastAsia" w:ascii="仿宋_GB2312" w:hAnsi="仿宋_GB2312" w:eastAsia="仿宋_GB2312" w:cs="仿宋_GB2312"/>
          <w:sz w:val="32"/>
          <w:szCs w:val="32"/>
          <w:highlight w:val="none"/>
          <w:lang w:val="en-US" w:eastAsia="zh-CN"/>
        </w:rPr>
        <w:t>322个</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农村生活污水治理率达</w:t>
      </w:r>
      <w:r>
        <w:rPr>
          <w:rFonts w:hint="eastAsia" w:ascii="仿宋_GB2312" w:hAnsi="仿宋_GB2312" w:eastAsia="仿宋_GB2312" w:cs="仿宋_GB2312"/>
          <w:sz w:val="32"/>
          <w:szCs w:val="32"/>
          <w:lang w:val="en-US" w:eastAsia="zh-CN"/>
        </w:rPr>
        <w:t>73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以上</w:t>
      </w:r>
      <w:r>
        <w:rPr>
          <w:rFonts w:hint="eastAsia" w:ascii="仿宋_GB2312" w:hAnsi="仿宋_GB2312" w:eastAsia="仿宋_GB2312" w:cs="仿宋_GB2312"/>
          <w:sz w:val="32"/>
          <w:szCs w:val="32"/>
        </w:rPr>
        <w:t>，设施稳定运行率达90%以上。</w:t>
      </w:r>
    </w:p>
    <w:p>
      <w:pPr>
        <w:keepNext w:val="0"/>
        <w:keepLines w:val="0"/>
        <w:pageBreakBefore w:val="0"/>
        <w:widowControl w:val="0"/>
        <w:kinsoku/>
        <w:wordWrap/>
        <w:overflowPunct/>
        <w:topLinePunct w:val="0"/>
        <w:autoSpaceDE/>
        <w:autoSpaceDN/>
        <w:bidi w:val="0"/>
        <w:spacing w:line="570" w:lineRule="exact"/>
        <w:ind w:left="0" w:leftChars="0" w:right="0" w:rightChars="0" w:firstLine="640" w:firstLineChars="200"/>
        <w:jc w:val="both"/>
        <w:textAlignment w:val="auto"/>
        <w:outlineLvl w:val="9"/>
        <w:rPr>
          <w:rFonts w:hint="eastAsia" w:ascii="黑体" w:hAnsi="黑体" w:eastAsia="黑体" w:cs="黑体"/>
          <w:bCs/>
          <w:sz w:val="32"/>
          <w:szCs w:val="32"/>
          <w:highlight w:val="none"/>
        </w:rPr>
      </w:pPr>
      <w:r>
        <w:rPr>
          <w:rFonts w:hint="eastAsia" w:ascii="黑体" w:hAnsi="黑体" w:eastAsia="黑体" w:cs="黑体"/>
          <w:bCs/>
          <w:sz w:val="32"/>
          <w:szCs w:val="32"/>
          <w:highlight w:val="none"/>
        </w:rPr>
        <w:t>二、重点任务</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0" w:firstLineChars="200"/>
        <w:jc w:val="both"/>
        <w:textAlignment w:val="auto"/>
        <w:outlineLvl w:val="9"/>
        <w:rPr>
          <w:rFonts w:hint="eastAsia" w:ascii="仿宋_GB2312" w:hAnsi="仿宋_GB2312" w:eastAsia="仿宋_GB2312" w:cs="仿宋_GB2312"/>
          <w:b/>
          <w:bCs/>
          <w:sz w:val="32"/>
          <w:szCs w:val="32"/>
        </w:rPr>
      </w:pPr>
      <w:r>
        <w:rPr>
          <w:rFonts w:hint="eastAsia" w:ascii="楷体_GB2312" w:hAnsi="楷体_GB2312" w:eastAsia="楷体_GB2312" w:cs="楷体_GB2312"/>
          <w:b w:val="0"/>
          <w:bCs/>
          <w:sz w:val="32"/>
          <w:szCs w:val="32"/>
        </w:rPr>
        <w:t>（一）策划项目清单。</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lang w:val="en-US" w:eastAsia="zh-CN"/>
        </w:rPr>
        <w:t>要充分应用</w:t>
      </w:r>
      <w:r>
        <w:rPr>
          <w:rFonts w:hint="eastAsia" w:ascii="仿宋_GB2312" w:hAnsi="仿宋_GB2312" w:eastAsia="仿宋_GB2312" w:cs="仿宋_GB2312"/>
          <w:sz w:val="32"/>
          <w:szCs w:val="32"/>
        </w:rPr>
        <w:t>农村生活污水治理</w:t>
      </w:r>
      <w:r>
        <w:rPr>
          <w:rFonts w:hint="eastAsia" w:ascii="仿宋_GB2312" w:hAnsi="仿宋_GB2312" w:eastAsia="仿宋_GB2312" w:cs="仿宋_GB2312"/>
          <w:sz w:val="32"/>
          <w:szCs w:val="32"/>
          <w:lang w:val="en-US" w:eastAsia="zh-CN"/>
        </w:rPr>
        <w:t>专项</w:t>
      </w:r>
      <w:r>
        <w:rPr>
          <w:rFonts w:hint="eastAsia" w:ascii="仿宋_GB2312" w:hAnsi="仿宋_GB2312" w:eastAsia="仿宋_GB2312" w:cs="仿宋_GB2312"/>
          <w:sz w:val="32"/>
          <w:szCs w:val="32"/>
        </w:rPr>
        <w:t>规划</w:t>
      </w:r>
      <w:r>
        <w:rPr>
          <w:rFonts w:hint="eastAsia" w:ascii="仿宋_GB2312" w:hAnsi="仿宋_GB2312" w:eastAsia="仿宋_GB2312" w:cs="仿宋_GB2312"/>
          <w:sz w:val="32"/>
          <w:szCs w:val="32"/>
          <w:lang w:val="en-US" w:eastAsia="zh-CN"/>
        </w:rPr>
        <w:t>成果，</w:t>
      </w:r>
      <w:r>
        <w:rPr>
          <w:rFonts w:hint="eastAsia" w:ascii="仿宋_GB2312" w:hAnsi="仿宋_GB2312" w:eastAsia="仿宋_GB2312" w:cs="仿宋_GB2312"/>
          <w:sz w:val="32"/>
          <w:szCs w:val="32"/>
        </w:rPr>
        <w:t>合理制定各年度计划，策划生成年度项目清单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u w:val="none"/>
        </w:rPr>
        <w:t>于每年10月底前上报下一年度的农村生活污水治理</w:t>
      </w:r>
      <w:r>
        <w:rPr>
          <w:rFonts w:hint="eastAsia" w:ascii="仿宋_GB2312" w:hAnsi="仿宋_GB2312" w:eastAsia="仿宋_GB2312" w:cs="仿宋_GB2312"/>
          <w:sz w:val="32"/>
          <w:szCs w:val="32"/>
          <w:highlight w:val="none"/>
          <w:u w:val="none"/>
          <w:lang w:val="en-US" w:eastAsia="zh-CN"/>
        </w:rPr>
        <w:t>提升</w:t>
      </w:r>
      <w:r>
        <w:rPr>
          <w:rFonts w:hint="eastAsia" w:ascii="仿宋_GB2312" w:hAnsi="仿宋_GB2312" w:eastAsia="仿宋_GB2312" w:cs="仿宋_GB2312"/>
          <w:sz w:val="32"/>
          <w:szCs w:val="32"/>
          <w:highlight w:val="none"/>
          <w:u w:val="none"/>
        </w:rPr>
        <w:t>项目，3月底前上报</w:t>
      </w:r>
      <w:r>
        <w:rPr>
          <w:rFonts w:hint="eastAsia" w:ascii="仿宋_GB2312" w:hAnsi="仿宋_GB2312" w:eastAsia="仿宋_GB2312" w:cs="仿宋_GB2312"/>
          <w:sz w:val="32"/>
          <w:szCs w:val="32"/>
          <w:highlight w:val="none"/>
          <w:u w:val="none"/>
          <w:lang w:val="en-US" w:eastAsia="zh-CN"/>
        </w:rPr>
        <w:t>当年</w:t>
      </w:r>
      <w:r>
        <w:rPr>
          <w:rFonts w:hint="eastAsia" w:ascii="仿宋_GB2312" w:hAnsi="仿宋_GB2312" w:eastAsia="仿宋_GB2312" w:cs="仿宋_GB2312"/>
          <w:sz w:val="32"/>
          <w:szCs w:val="32"/>
          <w:highlight w:val="none"/>
          <w:u w:val="none"/>
        </w:rPr>
        <w:t>项目实施方案，工作任务</w:t>
      </w:r>
      <w:r>
        <w:rPr>
          <w:rFonts w:hint="eastAsia" w:ascii="仿宋_GB2312" w:hAnsi="仿宋_GB2312" w:eastAsia="仿宋_GB2312" w:cs="仿宋_GB2312"/>
          <w:sz w:val="32"/>
          <w:szCs w:val="32"/>
          <w:highlight w:val="none"/>
          <w:u w:val="none"/>
          <w:lang w:val="en-US" w:eastAsia="zh-CN"/>
        </w:rPr>
        <w:t>应</w:t>
      </w:r>
      <w:r>
        <w:rPr>
          <w:rFonts w:hint="eastAsia" w:ascii="仿宋_GB2312" w:hAnsi="仿宋_GB2312" w:eastAsia="仿宋_GB2312" w:cs="仿宋_GB2312"/>
          <w:sz w:val="32"/>
          <w:szCs w:val="32"/>
          <w:highlight w:val="none"/>
          <w:u w:val="none"/>
        </w:rPr>
        <w:t>细化到自然村，由</w:t>
      </w:r>
      <w:r>
        <w:rPr>
          <w:rFonts w:hint="eastAsia" w:ascii="仿宋_GB2312" w:hAnsi="仿宋_GB2312" w:eastAsia="仿宋_GB2312" w:cs="仿宋_GB2312"/>
          <w:sz w:val="32"/>
          <w:szCs w:val="32"/>
          <w:highlight w:val="none"/>
          <w:u w:val="none"/>
          <w:lang w:eastAsia="zh-CN"/>
        </w:rPr>
        <w:t>安溪</w:t>
      </w:r>
      <w:r>
        <w:rPr>
          <w:rFonts w:hint="eastAsia" w:ascii="仿宋_GB2312" w:hAnsi="仿宋_GB2312" w:eastAsia="仿宋_GB2312" w:cs="仿宋_GB2312"/>
          <w:sz w:val="32"/>
          <w:szCs w:val="32"/>
          <w:highlight w:val="none"/>
          <w:u w:val="none"/>
        </w:rPr>
        <w:t>生态环境局汇总筛选审核</w:t>
      </w:r>
      <w:r>
        <w:rPr>
          <w:rFonts w:hint="eastAsia" w:ascii="仿宋_GB2312" w:hAnsi="仿宋_GB2312" w:eastAsia="仿宋_GB2312" w:cs="仿宋_GB2312"/>
          <w:sz w:val="32"/>
          <w:szCs w:val="32"/>
          <w:highlight w:val="none"/>
          <w:u w:val="none"/>
          <w:lang w:val="en-US" w:eastAsia="zh-CN"/>
        </w:rPr>
        <w:t>并</w:t>
      </w:r>
      <w:r>
        <w:rPr>
          <w:rFonts w:hint="eastAsia" w:ascii="仿宋_GB2312" w:hAnsi="仿宋_GB2312" w:eastAsia="仿宋_GB2312" w:cs="仿宋_GB2312"/>
          <w:sz w:val="32"/>
          <w:szCs w:val="32"/>
          <w:highlight w:val="none"/>
          <w:u w:val="none"/>
        </w:rPr>
        <w:t>报送</w:t>
      </w:r>
      <w:r>
        <w:rPr>
          <w:rFonts w:hint="eastAsia" w:ascii="仿宋_GB2312" w:hAnsi="仿宋_GB2312" w:eastAsia="仿宋_GB2312" w:cs="仿宋_GB2312"/>
          <w:sz w:val="32"/>
          <w:szCs w:val="32"/>
          <w:highlight w:val="none"/>
          <w:u w:val="none"/>
          <w:lang w:eastAsia="zh-CN"/>
        </w:rPr>
        <w:t>市生态环境局</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责任单位：各</w:t>
      </w:r>
      <w:r>
        <w:rPr>
          <w:rFonts w:hint="eastAsia" w:ascii="仿宋_GB2312" w:hAnsi="仿宋_GB2312" w:eastAsia="仿宋_GB2312" w:cs="仿宋_GB2312"/>
          <w:b/>
          <w:bCs/>
          <w:sz w:val="32"/>
          <w:szCs w:val="32"/>
          <w:lang w:eastAsia="zh-CN"/>
        </w:rPr>
        <w:t>乡镇</w:t>
      </w:r>
      <w:r>
        <w:rPr>
          <w:rFonts w:hint="eastAsia" w:ascii="仿宋_GB2312" w:hAnsi="仿宋_GB2312" w:eastAsia="仿宋_GB2312" w:cs="仿宋_GB2312"/>
          <w:b/>
          <w:bCs/>
          <w:sz w:val="32"/>
          <w:szCs w:val="32"/>
        </w:rPr>
        <w:t>人民政府；指导单位：</w:t>
      </w:r>
      <w:r>
        <w:rPr>
          <w:rFonts w:hint="eastAsia" w:ascii="仿宋_GB2312" w:hAnsi="仿宋_GB2312" w:eastAsia="仿宋_GB2312" w:cs="仿宋_GB2312"/>
          <w:b/>
          <w:bCs/>
          <w:sz w:val="32"/>
          <w:szCs w:val="32"/>
          <w:lang w:eastAsia="zh-CN"/>
        </w:rPr>
        <w:t>安溪</w:t>
      </w:r>
      <w:r>
        <w:rPr>
          <w:rFonts w:hint="eastAsia" w:ascii="仿宋_GB2312" w:hAnsi="仿宋_GB2312" w:eastAsia="仿宋_GB2312" w:cs="仿宋_GB2312"/>
          <w:b/>
          <w:bCs/>
          <w:sz w:val="32"/>
          <w:szCs w:val="32"/>
        </w:rPr>
        <w:t>生态环境局牵头，</w:t>
      </w:r>
      <w:r>
        <w:rPr>
          <w:rFonts w:hint="eastAsia" w:ascii="仿宋_GB2312" w:hAnsi="仿宋_GB2312" w:eastAsia="仿宋_GB2312" w:cs="仿宋_GB2312"/>
          <w:b/>
          <w:bCs/>
          <w:sz w:val="32"/>
          <w:szCs w:val="32"/>
          <w:lang w:eastAsia="zh-CN"/>
        </w:rPr>
        <w:t>县</w:t>
      </w:r>
      <w:r>
        <w:rPr>
          <w:rFonts w:hint="eastAsia" w:ascii="仿宋_GB2312" w:hAnsi="仿宋_GB2312" w:eastAsia="仿宋_GB2312" w:cs="仿宋_GB2312"/>
          <w:b/>
          <w:bCs/>
          <w:sz w:val="32"/>
          <w:szCs w:val="32"/>
        </w:rPr>
        <w:t>发改</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、城管局、卫健</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、水利局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资源局</w:t>
      </w:r>
      <w:r>
        <w:rPr>
          <w:rFonts w:hint="eastAsia" w:ascii="仿宋_GB2312" w:hAnsi="仿宋_GB2312" w:eastAsia="仿宋_GB2312" w:cs="仿宋_GB2312"/>
          <w:b/>
          <w:bCs/>
          <w:sz w:val="32"/>
          <w:szCs w:val="32"/>
        </w:rPr>
        <w:t>等配合。以下均需各</w:t>
      </w:r>
      <w:r>
        <w:rPr>
          <w:rFonts w:hint="eastAsia" w:ascii="仿宋_GB2312" w:hAnsi="仿宋_GB2312" w:eastAsia="仿宋_GB2312" w:cs="仿宋_GB2312"/>
          <w:b/>
          <w:bCs/>
          <w:sz w:val="32"/>
          <w:szCs w:val="32"/>
          <w:lang w:eastAsia="zh-CN"/>
        </w:rPr>
        <w:t>乡镇</w:t>
      </w:r>
      <w:r>
        <w:rPr>
          <w:rFonts w:hint="eastAsia" w:ascii="仿宋_GB2312" w:hAnsi="仿宋_GB2312" w:eastAsia="仿宋_GB2312" w:cs="仿宋_GB2312"/>
          <w:b/>
          <w:bCs/>
          <w:sz w:val="32"/>
          <w:szCs w:val="32"/>
        </w:rPr>
        <w:t>人民政府落实，不再列出</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0" w:firstLineChars="200"/>
        <w:jc w:val="both"/>
        <w:textAlignment w:val="auto"/>
        <w:outlineLvl w:val="9"/>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rPr>
        <w:t>（二）</w:t>
      </w:r>
      <w:r>
        <w:rPr>
          <w:rFonts w:hint="eastAsia" w:ascii="楷体_GB2312" w:hAnsi="楷体_GB2312" w:eastAsia="楷体_GB2312" w:cs="楷体_GB2312"/>
          <w:b w:val="0"/>
          <w:bCs/>
          <w:sz w:val="32"/>
          <w:szCs w:val="32"/>
          <w:lang w:val="en-US" w:eastAsia="zh-CN"/>
        </w:rPr>
        <w:t>实施</w:t>
      </w:r>
      <w:r>
        <w:rPr>
          <w:rFonts w:hint="eastAsia" w:ascii="楷体_GB2312" w:hAnsi="楷体_GB2312" w:eastAsia="楷体_GB2312" w:cs="楷体_GB2312"/>
          <w:b w:val="0"/>
          <w:bCs/>
          <w:sz w:val="32"/>
          <w:szCs w:val="32"/>
        </w:rPr>
        <w:t>精准治理</w:t>
      </w:r>
      <w:r>
        <w:rPr>
          <w:rFonts w:hint="eastAsia" w:ascii="楷体_GB2312" w:hAnsi="楷体_GB2312" w:eastAsia="楷体_GB2312" w:cs="楷体_GB2312"/>
          <w:b w:val="0"/>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u w:val="none"/>
          <w:lang w:val="en-US" w:eastAsia="zh-CN"/>
        </w:rPr>
        <w:t>1.优先提升存量。</w:t>
      </w:r>
      <w:r>
        <w:rPr>
          <w:rFonts w:hint="eastAsia" w:ascii="仿宋_GB2312" w:hAnsi="仿宋_GB2312" w:eastAsia="仿宋_GB2312" w:cs="仿宋_GB2312"/>
          <w:sz w:val="32"/>
          <w:szCs w:val="32"/>
          <w:highlight w:val="none"/>
          <w:u w:val="none"/>
          <w:lang w:val="en-US" w:eastAsia="zh-CN"/>
        </w:rPr>
        <w:t>对已建处理站或主干管</w:t>
      </w:r>
      <w:r>
        <w:rPr>
          <w:rFonts w:hint="eastAsia" w:ascii="仿宋_GB2312" w:hAnsi="仿宋_GB2312" w:eastAsia="仿宋_GB2312" w:cs="仿宋_GB2312"/>
          <w:sz w:val="32"/>
          <w:szCs w:val="32"/>
          <w:highlight w:val="none"/>
          <w:u w:val="none"/>
        </w:rPr>
        <w:t>的村庄，分批实施提升</w:t>
      </w:r>
      <w:r>
        <w:rPr>
          <w:rFonts w:hint="eastAsia" w:ascii="仿宋_GB2312" w:hAnsi="仿宋_GB2312" w:eastAsia="仿宋_GB2312" w:cs="仿宋_GB2312"/>
          <w:sz w:val="32"/>
          <w:szCs w:val="32"/>
          <w:highlight w:val="none"/>
          <w:u w:val="none"/>
          <w:lang w:val="en-US" w:eastAsia="zh-CN"/>
        </w:rPr>
        <w:t>治理</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整修处理设施，完善收集管网敷设，农户</w:t>
      </w:r>
      <w:r>
        <w:rPr>
          <w:rFonts w:hint="eastAsia" w:ascii="仿宋_GB2312" w:hAnsi="仿宋_GB2312" w:eastAsia="仿宋_GB2312" w:cs="仿宋_GB2312"/>
          <w:sz w:val="32"/>
          <w:szCs w:val="32"/>
          <w:highlight w:val="none"/>
          <w:u w:val="none"/>
        </w:rPr>
        <w:t>三格化粪池尾水、厨房废水、洗涤废水等三股污水全收集</w:t>
      </w:r>
      <w:r>
        <w:rPr>
          <w:rFonts w:hint="eastAsia" w:ascii="仿宋_GB2312" w:hAnsi="仿宋_GB2312" w:eastAsia="仿宋_GB2312" w:cs="仿宋_GB2312"/>
          <w:sz w:val="32"/>
          <w:szCs w:val="32"/>
          <w:highlight w:val="none"/>
          <w:u w:val="none"/>
          <w:lang w:val="en-US" w:eastAsia="zh-CN"/>
        </w:rPr>
        <w:t>处理，提高污水处理率。</w:t>
      </w:r>
      <w:r>
        <w:rPr>
          <w:rFonts w:hint="eastAsia" w:ascii="仿宋_GB2312" w:hAnsi="仿宋_GB2312" w:eastAsia="仿宋_GB2312" w:cs="仿宋_GB2312"/>
          <w:b/>
          <w:bCs/>
          <w:sz w:val="32"/>
          <w:szCs w:val="32"/>
        </w:rPr>
        <w:t>（指导单位：</w:t>
      </w:r>
      <w:r>
        <w:rPr>
          <w:rFonts w:hint="eastAsia" w:ascii="仿宋_GB2312" w:hAnsi="仿宋_GB2312" w:eastAsia="仿宋_GB2312" w:cs="仿宋_GB2312"/>
          <w:b/>
          <w:bCs/>
          <w:sz w:val="32"/>
          <w:szCs w:val="32"/>
          <w:lang w:eastAsia="zh-CN"/>
        </w:rPr>
        <w:t>安溪</w:t>
      </w:r>
      <w:r>
        <w:rPr>
          <w:rFonts w:hint="eastAsia" w:ascii="仿宋_GB2312" w:hAnsi="仿宋_GB2312" w:eastAsia="仿宋_GB2312" w:cs="仿宋_GB2312"/>
          <w:b/>
          <w:bCs/>
          <w:sz w:val="32"/>
          <w:szCs w:val="32"/>
        </w:rPr>
        <w:t>生态环境局牵头，</w:t>
      </w:r>
      <w:r>
        <w:rPr>
          <w:rFonts w:hint="eastAsia" w:ascii="仿宋_GB2312" w:hAnsi="仿宋_GB2312" w:eastAsia="仿宋_GB2312" w:cs="仿宋_GB2312"/>
          <w:b/>
          <w:bCs/>
          <w:sz w:val="32"/>
          <w:szCs w:val="32"/>
          <w:lang w:val="en-US" w:eastAsia="zh-CN"/>
        </w:rPr>
        <w:t>县</w:t>
      </w:r>
      <w:r>
        <w:rPr>
          <w:rFonts w:hint="eastAsia" w:ascii="仿宋_GB2312" w:hAnsi="仿宋_GB2312" w:eastAsia="仿宋_GB2312" w:cs="仿宋_GB2312"/>
          <w:b/>
          <w:bCs/>
          <w:sz w:val="32"/>
          <w:szCs w:val="32"/>
        </w:rPr>
        <w:t>城管局、卫健</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、农业农村局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水利局</w:t>
      </w:r>
      <w:r>
        <w:rPr>
          <w:rFonts w:hint="eastAsia" w:ascii="仿宋_GB2312" w:hAnsi="仿宋_GB2312" w:eastAsia="仿宋_GB2312" w:cs="仿宋_GB2312"/>
          <w:b/>
          <w:bCs/>
          <w:sz w:val="32"/>
          <w:szCs w:val="32"/>
        </w:rPr>
        <w:t>等配合）</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2.稳步建设增量。</w:t>
      </w:r>
      <w:r>
        <w:rPr>
          <w:rFonts w:hint="eastAsia" w:ascii="仿宋_GB2312" w:hAnsi="仿宋_GB2312" w:eastAsia="仿宋_GB2312" w:cs="仿宋_GB2312"/>
          <w:sz w:val="32"/>
          <w:szCs w:val="32"/>
        </w:rPr>
        <w:t>因地制宜、合理选择“纳厂、集中、分散”等技术路线，</w:t>
      </w:r>
      <w:r>
        <w:rPr>
          <w:rFonts w:hint="eastAsia" w:ascii="仿宋_GB2312" w:hAnsi="仿宋_GB2312" w:eastAsia="仿宋_GB2312" w:cs="仿宋_GB2312"/>
          <w:sz w:val="32"/>
          <w:szCs w:val="32"/>
          <w:lang w:val="en-US" w:eastAsia="zh-CN"/>
        </w:rPr>
        <w:t>持续推进治理设施和管网建设。</w:t>
      </w:r>
      <w:r>
        <w:rPr>
          <w:rFonts w:hint="eastAsia" w:ascii="仿宋_GB2312" w:hAnsi="仿宋_GB2312" w:eastAsia="仿宋_GB2312" w:cs="仿宋_GB2312"/>
          <w:sz w:val="32"/>
          <w:szCs w:val="32"/>
        </w:rPr>
        <w:t>优选经济适用、低能耗、易维护、高效率的技术工艺设备，防止设施规模脱离实际需求。强化资源化利用，鼓励集中式污水处理设施尾水回用于灌溉、绿化、景观等，实现农村水资源的良性循环。</w:t>
      </w:r>
      <w:r>
        <w:rPr>
          <w:rFonts w:hint="eastAsia" w:ascii="仿宋_GB2312" w:hAnsi="仿宋_GB2312" w:eastAsia="仿宋_GB2312" w:cs="仿宋_GB2312"/>
          <w:b/>
          <w:bCs/>
          <w:sz w:val="32"/>
          <w:szCs w:val="32"/>
        </w:rPr>
        <w:t>（指导单位：</w:t>
      </w:r>
      <w:r>
        <w:rPr>
          <w:rFonts w:hint="eastAsia" w:ascii="仿宋_GB2312" w:hAnsi="仿宋_GB2312" w:eastAsia="仿宋_GB2312" w:cs="仿宋_GB2312"/>
          <w:b/>
          <w:bCs/>
          <w:sz w:val="32"/>
          <w:szCs w:val="32"/>
          <w:lang w:eastAsia="zh-CN"/>
        </w:rPr>
        <w:t>安溪</w:t>
      </w:r>
      <w:r>
        <w:rPr>
          <w:rFonts w:hint="eastAsia" w:ascii="仿宋_GB2312" w:hAnsi="仿宋_GB2312" w:eastAsia="仿宋_GB2312" w:cs="仿宋_GB2312"/>
          <w:b/>
          <w:bCs/>
          <w:sz w:val="32"/>
          <w:szCs w:val="32"/>
        </w:rPr>
        <w:t>生态环境局牵头，</w:t>
      </w:r>
      <w:r>
        <w:rPr>
          <w:rFonts w:hint="eastAsia" w:ascii="仿宋_GB2312" w:hAnsi="仿宋_GB2312" w:eastAsia="仿宋_GB2312" w:cs="仿宋_GB2312"/>
          <w:b/>
          <w:bCs/>
          <w:sz w:val="32"/>
          <w:szCs w:val="32"/>
          <w:lang w:eastAsia="zh-CN"/>
        </w:rPr>
        <w:t>县</w:t>
      </w:r>
      <w:r>
        <w:rPr>
          <w:rFonts w:hint="eastAsia" w:ascii="仿宋_GB2312" w:hAnsi="仿宋_GB2312" w:eastAsia="仿宋_GB2312" w:cs="仿宋_GB2312"/>
          <w:b/>
          <w:bCs/>
          <w:sz w:val="32"/>
          <w:szCs w:val="32"/>
        </w:rPr>
        <w:t>城管局、</w:t>
      </w:r>
      <w:r>
        <w:rPr>
          <w:rFonts w:hint="eastAsia" w:ascii="仿宋_GB2312" w:hAnsi="仿宋_GB2312" w:eastAsia="仿宋_GB2312" w:cs="仿宋_GB2312"/>
          <w:b/>
          <w:bCs/>
          <w:sz w:val="32"/>
          <w:szCs w:val="32"/>
          <w:lang w:val="en-US" w:eastAsia="zh-CN"/>
        </w:rPr>
        <w:t>资源局、</w:t>
      </w:r>
      <w:r>
        <w:rPr>
          <w:rFonts w:hint="eastAsia" w:ascii="仿宋_GB2312" w:hAnsi="仿宋_GB2312" w:eastAsia="仿宋_GB2312" w:cs="仿宋_GB2312"/>
          <w:b/>
          <w:bCs/>
          <w:sz w:val="32"/>
          <w:szCs w:val="32"/>
        </w:rPr>
        <w:t>卫健</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、农业农村局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水利局</w:t>
      </w:r>
      <w:r>
        <w:rPr>
          <w:rFonts w:hint="eastAsia" w:ascii="仿宋_GB2312" w:hAnsi="仿宋_GB2312" w:eastAsia="仿宋_GB2312" w:cs="仿宋_GB2312"/>
          <w:b/>
          <w:bCs/>
          <w:sz w:val="32"/>
          <w:szCs w:val="32"/>
        </w:rPr>
        <w:t>等配合）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16" w:leftChars="0" w:right="0" w:rightChars="0" w:firstLine="640" w:firstLineChars="200"/>
        <w:jc w:val="both"/>
        <w:textAlignment w:val="auto"/>
        <w:outlineLvl w:val="9"/>
        <w:rPr>
          <w:rFonts w:hint="eastAsia" w:ascii="仿宋_GB2312" w:hAnsi="仿宋_GB2312" w:eastAsia="仿宋_GB2312" w:cs="仿宋_GB2312"/>
          <w:b/>
          <w:bCs/>
          <w:sz w:val="32"/>
          <w:szCs w:val="32"/>
          <w:lang w:val="en-US" w:eastAsia="zh-CN" w:bidi="ar-SA"/>
        </w:rPr>
      </w:pPr>
      <w:r>
        <w:rPr>
          <w:rFonts w:hint="eastAsia" w:ascii="楷体_GB2312" w:hAnsi="楷体_GB2312" w:eastAsia="楷体_GB2312" w:cs="楷体_GB2312"/>
          <w:b w:val="0"/>
          <w:bCs/>
          <w:sz w:val="32"/>
          <w:szCs w:val="32"/>
          <w:lang w:val="en-US" w:eastAsia="zh-CN"/>
        </w:rPr>
        <w:t>（三）规范建设运维。</w:t>
      </w:r>
      <w:r>
        <w:rPr>
          <w:rFonts w:hint="eastAsia" w:ascii="仿宋_GB2312" w:hAnsi="仿宋_GB2312" w:eastAsia="仿宋_GB2312" w:cs="仿宋_GB2312"/>
          <w:sz w:val="32"/>
          <w:szCs w:val="32"/>
          <w:lang w:val="en-US" w:eastAsia="zh-CN" w:bidi="ar-SA"/>
        </w:rPr>
        <w:t>做好项目前期，落实“一村一设计”，逐村逐户现场踏勘、合理设计，科学厂站选址，绘制勘测定界图。以县为单位，将治理项目整体打包、统一报批相关审批手续，支持采取容缺受理、告知承诺等措施，依法优化项目审批事项。强化质量监管，坚持“一次建设、长久使用”，精心组织项目施工，落实项目业主负责制度，</w:t>
      </w:r>
      <w:r>
        <w:rPr>
          <w:rFonts w:hint="eastAsia" w:ascii="仿宋_GB2312" w:hAnsi="仿宋_GB2312" w:eastAsia="仿宋_GB2312" w:cs="仿宋_GB2312"/>
          <w:b w:val="0"/>
          <w:bCs w:val="0"/>
          <w:sz w:val="32"/>
          <w:szCs w:val="32"/>
          <w:lang w:val="en-US" w:eastAsia="zh-CN"/>
        </w:rPr>
        <w:t>鼓励建设过程聘请工程监理，</w:t>
      </w:r>
      <w:r>
        <w:rPr>
          <w:rFonts w:hint="eastAsia" w:ascii="仿宋_GB2312" w:hAnsi="仿宋_GB2312" w:eastAsia="仿宋_GB2312" w:cs="仿宋_GB2312"/>
          <w:sz w:val="32"/>
          <w:szCs w:val="32"/>
          <w:lang w:val="en-US" w:eastAsia="zh-CN" w:bidi="ar-SA"/>
        </w:rPr>
        <w:t>鼓励污水处理设施及管道等主要建设材料县域统一招标采购。</w:t>
      </w:r>
      <w:r>
        <w:rPr>
          <w:rFonts w:hint="eastAsia" w:ascii="仿宋_GB2312" w:hAnsi="仿宋_GB2312" w:eastAsia="仿宋_GB2312" w:cs="仿宋_GB2312"/>
          <w:b w:val="0"/>
          <w:bCs w:val="0"/>
          <w:sz w:val="32"/>
          <w:szCs w:val="32"/>
          <w:lang w:val="en-US" w:eastAsia="zh-CN" w:bidi="ar-SA"/>
        </w:rPr>
        <w:t>严把工程验收，</w:t>
      </w:r>
      <w:r>
        <w:rPr>
          <w:rFonts w:hint="eastAsia" w:ascii="仿宋_GB2312" w:hAnsi="仿宋_GB2312" w:eastAsia="仿宋_GB2312" w:cs="仿宋_GB2312"/>
          <w:sz w:val="32"/>
          <w:szCs w:val="32"/>
          <w:lang w:val="en-US" w:eastAsia="zh-CN" w:bidi="ar-SA"/>
        </w:rPr>
        <w:t>由业主单位组织施工单位、设计单位、监理单位、勘察设计单位等联合验收，实行“一项目一档案”，存档备查。县农村生活污水提升治理领导小组办公室组织住建、城管、生态环境、资源、农业农村、卫健等部门及所在乡镇成立检查小组进行抽查。承担日常运维的单位要成立专班、指派专人，对处理设施及管网进行日常养护、定期巡查，确保污水有效收集、设施正常运行、出水水质达标。</w:t>
      </w:r>
      <w:r>
        <w:rPr>
          <w:rFonts w:hint="eastAsia" w:ascii="仿宋_GB2312" w:hAnsi="仿宋_GB2312" w:eastAsia="仿宋_GB2312" w:cs="仿宋_GB2312"/>
          <w:b/>
          <w:bCs/>
          <w:sz w:val="32"/>
          <w:szCs w:val="32"/>
        </w:rPr>
        <w:t>（指导单位：</w:t>
      </w:r>
      <w:r>
        <w:rPr>
          <w:rFonts w:hint="eastAsia" w:ascii="仿宋_GB2312" w:hAnsi="仿宋_GB2312" w:eastAsia="仿宋_GB2312" w:cs="仿宋_GB2312"/>
          <w:b/>
          <w:bCs/>
          <w:sz w:val="32"/>
          <w:szCs w:val="32"/>
          <w:lang w:eastAsia="zh-CN"/>
        </w:rPr>
        <w:t>安溪</w:t>
      </w:r>
      <w:r>
        <w:rPr>
          <w:rFonts w:hint="eastAsia" w:ascii="仿宋_GB2312" w:hAnsi="仿宋_GB2312" w:eastAsia="仿宋_GB2312" w:cs="仿宋_GB2312"/>
          <w:b/>
          <w:bCs/>
          <w:sz w:val="32"/>
          <w:szCs w:val="32"/>
        </w:rPr>
        <w:t>生态环境局、</w:t>
      </w:r>
      <w:r>
        <w:rPr>
          <w:rFonts w:hint="eastAsia" w:ascii="仿宋_GB2312" w:hAnsi="仿宋_GB2312" w:eastAsia="仿宋_GB2312" w:cs="仿宋_GB2312"/>
          <w:b/>
          <w:bCs/>
          <w:sz w:val="32"/>
          <w:szCs w:val="32"/>
          <w:lang w:eastAsia="zh-CN"/>
        </w:rPr>
        <w:t>县</w:t>
      </w:r>
      <w:r>
        <w:rPr>
          <w:rFonts w:hint="eastAsia" w:ascii="仿宋_GB2312" w:hAnsi="仿宋_GB2312" w:eastAsia="仿宋_GB2312" w:cs="仿宋_GB2312"/>
          <w:b/>
          <w:bCs/>
          <w:sz w:val="32"/>
          <w:szCs w:val="32"/>
        </w:rPr>
        <w:t>资源局、发改</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highlight w:val="none"/>
        </w:rPr>
        <w:t>住建局、</w:t>
      </w:r>
      <w:r>
        <w:rPr>
          <w:rFonts w:hint="eastAsia" w:ascii="仿宋_GB2312" w:hAnsi="仿宋_GB2312" w:eastAsia="仿宋_GB2312" w:cs="仿宋_GB2312"/>
          <w:b/>
          <w:bCs/>
          <w:sz w:val="32"/>
          <w:szCs w:val="32"/>
        </w:rPr>
        <w:t>城管局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卫健局、农业农村局</w:t>
      </w:r>
      <w:r>
        <w:rPr>
          <w:rFonts w:hint="eastAsia" w:ascii="仿宋_GB2312" w:hAnsi="仿宋_GB2312" w:eastAsia="仿宋_GB2312" w:cs="仿宋_GB2312"/>
          <w:b/>
          <w:bCs/>
          <w:sz w:val="32"/>
          <w:szCs w:val="32"/>
        </w:rPr>
        <w:t>等按职责分工）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0" w:leftChars="0" w:right="0" w:rightChars="0" w:firstLine="640"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楷体_GB2312" w:hAnsi="楷体_GB2312" w:eastAsia="楷体_GB2312" w:cs="楷体_GB2312"/>
          <w:b w:val="0"/>
          <w:bCs/>
          <w:sz w:val="32"/>
          <w:szCs w:val="32"/>
          <w:lang w:val="en-US" w:eastAsia="zh-CN"/>
        </w:rPr>
        <w:t>（四）提升治理水平。</w:t>
      </w:r>
      <w:r>
        <w:rPr>
          <w:rFonts w:hint="eastAsia" w:ascii="仿宋_GB2312" w:hAnsi="仿宋_GB2312" w:eastAsia="仿宋_GB2312" w:cs="仿宋_GB2312"/>
          <w:color w:val="auto"/>
          <w:sz w:val="32"/>
          <w:szCs w:val="32"/>
          <w:lang w:val="en-US" w:eastAsia="zh-CN" w:bidi="ar-SA"/>
        </w:rPr>
        <w:t>各乡镇要坚持“规划、设计、建设、运维”统筹考虑，把农村污水治理与农村道路、河道整治、农村建房等项目协同建设，与城镇污水处理厂管网建设、农村户厕改造协同推进，避免重复建设，</w:t>
      </w:r>
      <w:r>
        <w:rPr>
          <w:rFonts w:hint="eastAsia" w:ascii="仿宋_GB2312" w:hAnsi="仿宋_GB2312" w:eastAsia="仿宋_GB2312" w:cs="仿宋_GB2312"/>
          <w:color w:val="auto"/>
          <w:sz w:val="32"/>
          <w:szCs w:val="32"/>
          <w:highlight w:val="none"/>
          <w:u w:val="none"/>
          <w:lang w:val="en-US" w:eastAsia="zh-CN"/>
        </w:rPr>
        <w:t>提高治理效果。</w:t>
      </w:r>
      <w:r>
        <w:rPr>
          <w:rFonts w:hint="eastAsia" w:ascii="仿宋_GB2312" w:hAnsi="仿宋_GB2312" w:eastAsia="仿宋_GB2312" w:cs="仿宋_GB2312"/>
          <w:color w:val="auto"/>
          <w:sz w:val="32"/>
          <w:szCs w:val="32"/>
          <w:highlight w:val="none"/>
          <w:u w:val="none"/>
          <w:lang w:val="en-US" w:eastAsia="zh-CN" w:bidi="ar-SA"/>
        </w:rPr>
        <w:t>要及时总结推广一批可复制、可推广的治理经验和模式。</w:t>
      </w:r>
      <w:r>
        <w:rPr>
          <w:rFonts w:hint="eastAsia" w:ascii="仿宋_GB2312" w:hAnsi="仿宋_GB2312" w:eastAsia="仿宋_GB2312" w:cs="仿宋_GB2312"/>
          <w:b/>
          <w:bCs/>
          <w:color w:val="auto"/>
          <w:sz w:val="32"/>
          <w:szCs w:val="32"/>
        </w:rPr>
        <w:t>（指导单位：</w:t>
      </w:r>
      <w:r>
        <w:rPr>
          <w:rFonts w:hint="eastAsia" w:ascii="仿宋_GB2312" w:hAnsi="仿宋_GB2312" w:eastAsia="仿宋_GB2312" w:cs="仿宋_GB2312"/>
          <w:b/>
          <w:bCs/>
          <w:color w:val="auto"/>
          <w:sz w:val="32"/>
          <w:szCs w:val="32"/>
          <w:lang w:eastAsia="zh-CN"/>
        </w:rPr>
        <w:t>安溪</w:t>
      </w:r>
      <w:r>
        <w:rPr>
          <w:rFonts w:hint="eastAsia" w:ascii="仿宋_GB2312" w:hAnsi="仿宋_GB2312" w:eastAsia="仿宋_GB2312" w:cs="仿宋_GB2312"/>
          <w:b/>
          <w:bCs/>
          <w:color w:val="auto"/>
          <w:sz w:val="32"/>
          <w:szCs w:val="32"/>
        </w:rPr>
        <w:t>生态环境局牵头，</w:t>
      </w:r>
      <w:r>
        <w:rPr>
          <w:rFonts w:hint="eastAsia" w:ascii="仿宋_GB2312" w:hAnsi="仿宋_GB2312" w:eastAsia="仿宋_GB2312" w:cs="仿宋_GB2312"/>
          <w:b/>
          <w:bCs/>
          <w:color w:val="auto"/>
          <w:sz w:val="32"/>
          <w:szCs w:val="32"/>
          <w:lang w:eastAsia="zh-CN"/>
        </w:rPr>
        <w:t>县</w:t>
      </w:r>
      <w:r>
        <w:rPr>
          <w:rFonts w:hint="eastAsia" w:ascii="仿宋_GB2312" w:hAnsi="仿宋_GB2312" w:eastAsia="仿宋_GB2312" w:cs="仿宋_GB2312"/>
          <w:b/>
          <w:bCs/>
          <w:color w:val="auto"/>
          <w:sz w:val="32"/>
          <w:szCs w:val="32"/>
        </w:rPr>
        <w:t>农业农村局、</w:t>
      </w:r>
      <w:r>
        <w:rPr>
          <w:rFonts w:hint="eastAsia" w:ascii="仿宋_GB2312" w:hAnsi="仿宋_GB2312" w:eastAsia="仿宋_GB2312" w:cs="仿宋_GB2312"/>
          <w:b/>
          <w:bCs/>
          <w:color w:val="auto"/>
          <w:sz w:val="32"/>
          <w:szCs w:val="32"/>
          <w:lang w:val="en-US" w:eastAsia="zh-CN"/>
        </w:rPr>
        <w:t>资源局、城管局、卫健局、</w:t>
      </w:r>
      <w:r>
        <w:rPr>
          <w:rFonts w:hint="eastAsia" w:ascii="仿宋_GB2312" w:hAnsi="仿宋_GB2312" w:eastAsia="仿宋_GB2312" w:cs="仿宋_GB2312"/>
          <w:b/>
          <w:bCs/>
          <w:color w:val="auto"/>
          <w:sz w:val="32"/>
          <w:szCs w:val="32"/>
        </w:rPr>
        <w:t>水利局等配合）</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val="en-US" w:eastAsia="zh-CN"/>
        </w:rPr>
        <w:t>五</w:t>
      </w:r>
      <w:r>
        <w:rPr>
          <w:rFonts w:hint="eastAsia" w:ascii="楷体_GB2312" w:hAnsi="楷体_GB2312" w:eastAsia="楷体_GB2312" w:cs="楷体_GB2312"/>
          <w:b w:val="0"/>
          <w:bCs/>
          <w:sz w:val="32"/>
          <w:szCs w:val="32"/>
        </w:rPr>
        <w:t>）推行共治</w:t>
      </w:r>
      <w:r>
        <w:rPr>
          <w:rFonts w:hint="eastAsia" w:ascii="楷体_GB2312" w:hAnsi="楷体_GB2312" w:eastAsia="楷体_GB2312" w:cs="楷体_GB2312"/>
          <w:b w:val="0"/>
          <w:bCs/>
          <w:sz w:val="32"/>
          <w:szCs w:val="32"/>
          <w:lang w:val="en-US" w:eastAsia="zh-CN"/>
        </w:rPr>
        <w:t>共享</w:t>
      </w:r>
      <w:r>
        <w:rPr>
          <w:rFonts w:hint="eastAsia" w:ascii="楷体_GB2312" w:hAnsi="楷体_GB2312" w:eastAsia="楷体_GB2312" w:cs="楷体_GB2312"/>
          <w:b w:val="0"/>
          <w:bCs/>
          <w:sz w:val="32"/>
          <w:szCs w:val="32"/>
        </w:rPr>
        <w:t>。</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乡镇</w:t>
      </w:r>
      <w:r>
        <w:rPr>
          <w:rFonts w:hint="eastAsia" w:ascii="仿宋_GB2312" w:hAnsi="仿宋_GB2312" w:eastAsia="仿宋_GB2312" w:cs="仿宋_GB2312"/>
          <w:color w:val="auto"/>
          <w:sz w:val="32"/>
          <w:szCs w:val="32"/>
        </w:rPr>
        <w:t>要将农村污水处理站及管网的日常巡查纳入乡镇综合执法、村级协管队伍的工作范畴。发挥村级组织力量，加强对受益主体农户的宣传引导，引导农户配合接户管、房前屋后收集管道、检查井建设。</w:t>
      </w:r>
      <w:r>
        <w:rPr>
          <w:rFonts w:hint="eastAsia" w:ascii="仿宋_GB2312" w:hAnsi="仿宋_GB2312" w:eastAsia="仿宋_GB2312" w:cs="仿宋_GB2312"/>
          <w:color w:val="auto"/>
          <w:sz w:val="32"/>
          <w:szCs w:val="32"/>
          <w:lang w:val="en-US" w:eastAsia="zh-CN"/>
        </w:rPr>
        <w:t>借助党代表、人大代表、政协委员、当地乡贤、农村“五老”等力量，帮助推动项目落地和日常监督</w:t>
      </w:r>
      <w:r>
        <w:rPr>
          <w:rFonts w:hint="eastAsia" w:ascii="仿宋_GB2312" w:hAnsi="仿宋_GB2312" w:eastAsia="仿宋_GB2312" w:cs="仿宋_GB2312"/>
          <w:color w:val="auto"/>
          <w:sz w:val="32"/>
          <w:szCs w:val="32"/>
        </w:rPr>
        <w:t>。充分发挥新闻媒体作用，加强政策解读、案例宣传和问题曝光。</w:t>
      </w:r>
      <w:r>
        <w:rPr>
          <w:rFonts w:hint="eastAsia" w:ascii="仿宋_GB2312" w:hAnsi="仿宋_GB2312" w:eastAsia="仿宋_GB2312" w:cs="仿宋_GB2312"/>
          <w:b/>
          <w:bCs/>
          <w:color w:val="auto"/>
          <w:sz w:val="32"/>
          <w:szCs w:val="32"/>
        </w:rPr>
        <w:t>（指导单位：</w:t>
      </w:r>
      <w:r>
        <w:rPr>
          <w:rFonts w:hint="eastAsia" w:ascii="仿宋_GB2312" w:hAnsi="仿宋_GB2312" w:eastAsia="仿宋_GB2312" w:cs="仿宋_GB2312"/>
          <w:b/>
          <w:bCs/>
          <w:color w:val="auto"/>
          <w:sz w:val="32"/>
          <w:szCs w:val="32"/>
          <w:lang w:eastAsia="zh-CN"/>
        </w:rPr>
        <w:t>安溪</w:t>
      </w:r>
      <w:r>
        <w:rPr>
          <w:rFonts w:hint="eastAsia" w:ascii="仿宋_GB2312" w:hAnsi="仿宋_GB2312" w:eastAsia="仿宋_GB2312" w:cs="仿宋_GB2312"/>
          <w:b/>
          <w:bCs/>
          <w:color w:val="auto"/>
          <w:sz w:val="32"/>
          <w:szCs w:val="32"/>
        </w:rPr>
        <w:t>生态环境局牵头）</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0" w:firstLineChars="200"/>
        <w:jc w:val="both"/>
        <w:textAlignment w:val="auto"/>
        <w:outlineLvl w:val="9"/>
        <w:rPr>
          <w:rFonts w:hint="eastAsia" w:ascii="仿宋_GB2312" w:hAnsi="仿宋_GB2312" w:eastAsia="仿宋_GB2312" w:cs="仿宋_GB2312"/>
          <w:b/>
          <w:bCs/>
          <w:color w:val="auto"/>
          <w:sz w:val="32"/>
          <w:szCs w:val="32"/>
        </w:rPr>
      </w:pP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val="en-US" w:eastAsia="zh-CN"/>
        </w:rPr>
        <w:t>六</w:t>
      </w: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val="en-US" w:eastAsia="zh-CN"/>
        </w:rPr>
        <w:t>构建长效机制</w:t>
      </w:r>
      <w:r>
        <w:rPr>
          <w:rFonts w:hint="eastAsia" w:ascii="楷体_GB2312" w:hAnsi="楷体_GB2312" w:eastAsia="楷体_GB2312" w:cs="楷体_GB2312"/>
          <w:b w:val="0"/>
          <w:bCs/>
          <w:sz w:val="32"/>
          <w:szCs w:val="32"/>
        </w:rPr>
        <w:t>。</w:t>
      </w:r>
      <w:r>
        <w:rPr>
          <w:rFonts w:hint="eastAsia" w:ascii="仿宋_GB2312" w:hAnsi="仿宋_GB2312" w:eastAsia="仿宋_GB2312" w:cs="仿宋_GB2312"/>
          <w:color w:val="auto"/>
          <w:sz w:val="32"/>
          <w:szCs w:val="32"/>
        </w:rPr>
        <w:t>要加强长效机制建设，创新智慧监管模式，实现</w:t>
      </w:r>
      <w:r>
        <w:rPr>
          <w:rFonts w:hint="eastAsia" w:ascii="仿宋_GB2312" w:hAnsi="仿宋_GB2312" w:eastAsia="仿宋_GB2312" w:cs="仿宋_GB2312"/>
          <w:color w:val="auto"/>
          <w:sz w:val="32"/>
          <w:szCs w:val="32"/>
          <w:lang w:eastAsia="zh-CN"/>
        </w:rPr>
        <w:t>污水治理</w:t>
      </w:r>
      <w:r>
        <w:rPr>
          <w:rFonts w:hint="eastAsia" w:ascii="仿宋_GB2312" w:hAnsi="仿宋_GB2312" w:eastAsia="仿宋_GB2312" w:cs="仿宋_GB2312"/>
          <w:color w:val="auto"/>
          <w:sz w:val="32"/>
          <w:szCs w:val="32"/>
        </w:rPr>
        <w:t>任务在线调度管理、问题及时转办督办、整改限期落实反馈。</w:t>
      </w:r>
      <w:r>
        <w:rPr>
          <w:rFonts w:hint="eastAsia" w:ascii="仿宋_GB2312" w:hAnsi="仿宋_GB2312" w:eastAsia="仿宋_GB2312" w:cs="仿宋_GB2312"/>
          <w:color w:val="auto"/>
          <w:sz w:val="32"/>
          <w:szCs w:val="32"/>
          <w:lang w:val="en-US" w:eastAsia="zh-CN"/>
        </w:rPr>
        <w:t>要</w:t>
      </w:r>
      <w:r>
        <w:rPr>
          <w:rFonts w:hint="eastAsia" w:ascii="仿宋_GB2312" w:hAnsi="仿宋_GB2312" w:eastAsia="仿宋_GB2312" w:cs="仿宋_GB2312"/>
          <w:color w:val="auto"/>
          <w:sz w:val="32"/>
          <w:szCs w:val="32"/>
        </w:rPr>
        <w:t>建立第三方评估制度，常态化开展成效评估、明察暗访、企业信用评价。</w:t>
      </w:r>
      <w:r>
        <w:rPr>
          <w:rFonts w:hint="eastAsia" w:ascii="仿宋_GB2312" w:hAnsi="仿宋_GB2312" w:eastAsia="仿宋_GB2312" w:cs="仿宋_GB2312"/>
          <w:color w:val="auto"/>
          <w:sz w:val="32"/>
          <w:szCs w:val="32"/>
          <w:lang w:val="en-US" w:eastAsia="zh-CN"/>
        </w:rPr>
        <w:t>要</w:t>
      </w:r>
      <w:r>
        <w:rPr>
          <w:rFonts w:hint="eastAsia" w:ascii="仿宋_GB2312" w:hAnsi="仿宋_GB2312" w:eastAsia="仿宋_GB2312" w:cs="仿宋_GB2312"/>
          <w:color w:val="auto"/>
          <w:sz w:val="32"/>
          <w:szCs w:val="32"/>
        </w:rPr>
        <w:t>以污水收集率、</w:t>
      </w:r>
      <w:r>
        <w:rPr>
          <w:rFonts w:hint="eastAsia" w:ascii="仿宋_GB2312" w:hAnsi="仿宋_GB2312" w:eastAsia="仿宋_GB2312" w:cs="仿宋_GB2312"/>
          <w:color w:val="auto"/>
          <w:sz w:val="32"/>
          <w:szCs w:val="32"/>
          <w:u w:val="none"/>
          <w:lang w:val="en-US" w:eastAsia="zh-CN"/>
        </w:rPr>
        <w:t>负荷率、</w:t>
      </w:r>
      <w:r>
        <w:rPr>
          <w:rFonts w:hint="eastAsia" w:ascii="仿宋_GB2312" w:hAnsi="仿宋_GB2312" w:eastAsia="仿宋_GB2312" w:cs="仿宋_GB2312"/>
          <w:color w:val="auto"/>
          <w:sz w:val="32"/>
          <w:szCs w:val="32"/>
        </w:rPr>
        <w:t>出水达标率为重点，每半年开展成效考核，实行以效付费。</w:t>
      </w:r>
      <w:r>
        <w:rPr>
          <w:rFonts w:hint="eastAsia" w:ascii="仿宋_GB2312" w:hAnsi="仿宋_GB2312" w:eastAsia="仿宋_GB2312" w:cs="仿宋_GB2312"/>
          <w:b/>
          <w:bCs/>
          <w:color w:val="auto"/>
          <w:sz w:val="32"/>
          <w:szCs w:val="32"/>
        </w:rPr>
        <w:t>（指导单位：</w:t>
      </w:r>
      <w:r>
        <w:rPr>
          <w:rFonts w:hint="eastAsia" w:ascii="仿宋_GB2312" w:hAnsi="仿宋_GB2312" w:eastAsia="仿宋_GB2312" w:cs="仿宋_GB2312"/>
          <w:b/>
          <w:bCs/>
          <w:color w:val="auto"/>
          <w:sz w:val="32"/>
          <w:szCs w:val="32"/>
          <w:lang w:eastAsia="zh-CN"/>
        </w:rPr>
        <w:t>安溪</w:t>
      </w:r>
      <w:r>
        <w:rPr>
          <w:rFonts w:hint="eastAsia" w:ascii="仿宋_GB2312" w:hAnsi="仿宋_GB2312" w:eastAsia="仿宋_GB2312" w:cs="仿宋_GB2312"/>
          <w:b/>
          <w:bCs/>
          <w:color w:val="auto"/>
          <w:sz w:val="32"/>
          <w:szCs w:val="32"/>
        </w:rPr>
        <w:t>生态环境局牵头，</w:t>
      </w:r>
      <w:r>
        <w:rPr>
          <w:rFonts w:hint="eastAsia" w:ascii="仿宋_GB2312" w:hAnsi="仿宋_GB2312" w:eastAsia="仿宋_GB2312" w:cs="仿宋_GB2312"/>
          <w:b/>
          <w:bCs/>
          <w:color w:val="auto"/>
          <w:sz w:val="32"/>
          <w:szCs w:val="32"/>
          <w:lang w:eastAsia="zh-CN"/>
        </w:rPr>
        <w:t>县</w:t>
      </w:r>
      <w:r>
        <w:rPr>
          <w:rFonts w:hint="eastAsia" w:ascii="仿宋_GB2312" w:hAnsi="仿宋_GB2312" w:eastAsia="仿宋_GB2312" w:cs="仿宋_GB2312"/>
          <w:b/>
          <w:bCs/>
          <w:color w:val="auto"/>
          <w:sz w:val="32"/>
          <w:szCs w:val="32"/>
        </w:rPr>
        <w:t>城管局等配合）</w:t>
      </w:r>
    </w:p>
    <w:p>
      <w:pPr>
        <w:keepNext w:val="0"/>
        <w:keepLines w:val="0"/>
        <w:pageBreakBefore w:val="0"/>
        <w:widowControl w:val="0"/>
        <w:kinsoku/>
        <w:wordWrap/>
        <w:overflowPunct/>
        <w:topLinePunct w:val="0"/>
        <w:autoSpaceDE/>
        <w:autoSpaceDN/>
        <w:bidi w:val="0"/>
        <w:spacing w:line="570" w:lineRule="exact"/>
        <w:ind w:left="0" w:leftChars="0" w:right="0" w:rightChars="0" w:firstLine="640" w:firstLineChars="200"/>
        <w:jc w:val="both"/>
        <w:textAlignment w:val="auto"/>
        <w:outlineLvl w:val="9"/>
        <w:rPr>
          <w:rFonts w:hint="eastAsia" w:ascii="黑体" w:hAnsi="黑体" w:eastAsia="黑体" w:cs="黑体"/>
          <w:bCs/>
          <w:sz w:val="32"/>
          <w:szCs w:val="32"/>
          <w:highlight w:val="none"/>
        </w:rPr>
      </w:pPr>
      <w:r>
        <w:rPr>
          <w:rFonts w:hint="eastAsia" w:ascii="黑体" w:hAnsi="黑体" w:eastAsia="黑体" w:cs="黑体"/>
          <w:bCs/>
          <w:sz w:val="32"/>
          <w:szCs w:val="32"/>
          <w:highlight w:val="none"/>
        </w:rPr>
        <w:t>三、实施模式</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0" w:firstLineChars="200"/>
        <w:jc w:val="both"/>
        <w:textAlignment w:val="auto"/>
        <w:outlineLvl w:val="9"/>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val="en-US" w:eastAsia="zh-CN"/>
        </w:rPr>
        <w:t>七</w:t>
      </w: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val="en-US" w:eastAsia="zh-CN"/>
        </w:rPr>
        <w:t>完善建管机制</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color w:val="auto"/>
          <w:sz w:val="32"/>
          <w:szCs w:val="32"/>
          <w:lang w:val="en-US" w:eastAsia="zh-CN"/>
        </w:rPr>
        <w:t>1.</w:t>
      </w:r>
      <w:r>
        <w:rPr>
          <w:rFonts w:hint="eastAsia" w:ascii="仿宋_GB2312" w:hAnsi="仿宋_GB2312" w:eastAsia="仿宋_GB2312" w:cs="仿宋_GB2312"/>
          <w:b/>
          <w:color w:val="auto"/>
          <w:sz w:val="32"/>
          <w:szCs w:val="32"/>
        </w:rPr>
        <w:t>确定实施主体。</w:t>
      </w:r>
      <w:r>
        <w:rPr>
          <w:rFonts w:hint="eastAsia" w:ascii="仿宋_GB2312" w:hAnsi="仿宋_GB2312" w:eastAsia="仿宋_GB2312" w:cs="仿宋_GB2312"/>
          <w:b w:val="0"/>
          <w:bCs w:val="0"/>
          <w:color w:val="auto"/>
          <w:sz w:val="32"/>
          <w:szCs w:val="32"/>
        </w:rPr>
        <w:t>实行专业化</w:t>
      </w:r>
      <w:r>
        <w:rPr>
          <w:rFonts w:hint="eastAsia" w:ascii="仿宋_GB2312" w:hAnsi="仿宋_GB2312" w:eastAsia="仿宋_GB2312" w:cs="仿宋_GB2312"/>
          <w:b w:val="0"/>
          <w:bCs w:val="0"/>
          <w:color w:val="auto"/>
          <w:sz w:val="32"/>
          <w:szCs w:val="32"/>
          <w:lang w:val="en-US" w:eastAsia="zh-CN"/>
        </w:rPr>
        <w:t>建设</w:t>
      </w:r>
      <w:r>
        <w:rPr>
          <w:rFonts w:hint="eastAsia" w:ascii="仿宋_GB2312" w:hAnsi="仿宋_GB2312" w:eastAsia="仿宋_GB2312" w:cs="仿宋_GB2312"/>
          <w:b w:val="0"/>
          <w:bCs w:val="0"/>
          <w:color w:val="auto"/>
          <w:sz w:val="32"/>
          <w:szCs w:val="32"/>
        </w:rPr>
        <w:t>、企业化</w:t>
      </w:r>
      <w:r>
        <w:rPr>
          <w:rFonts w:hint="eastAsia" w:ascii="仿宋_GB2312" w:hAnsi="仿宋_GB2312" w:eastAsia="仿宋_GB2312" w:cs="仿宋_GB2312"/>
          <w:b w:val="0"/>
          <w:bCs w:val="0"/>
          <w:color w:val="auto"/>
          <w:sz w:val="32"/>
          <w:szCs w:val="32"/>
          <w:lang w:val="en-US" w:eastAsia="zh-CN"/>
        </w:rPr>
        <w:t>管理，逐步推进由</w:t>
      </w:r>
      <w:r>
        <w:rPr>
          <w:rFonts w:hint="eastAsia" w:ascii="仿宋_GB2312" w:hAnsi="仿宋_GB2312" w:eastAsia="仿宋_GB2312" w:cs="仿宋_GB2312"/>
          <w:b w:val="0"/>
          <w:bCs w:val="0"/>
          <w:color w:val="auto"/>
          <w:sz w:val="32"/>
          <w:szCs w:val="32"/>
          <w:lang w:eastAsia="zh-CN"/>
        </w:rPr>
        <w:t>安溪水务集团有限公司</w:t>
      </w:r>
      <w:r>
        <w:rPr>
          <w:rFonts w:hint="eastAsia" w:ascii="仿宋_GB2312" w:hAnsi="仿宋_GB2312" w:eastAsia="仿宋_GB2312" w:cs="仿宋_GB2312"/>
          <w:b w:val="0"/>
          <w:bCs w:val="0"/>
          <w:color w:val="auto"/>
          <w:sz w:val="32"/>
          <w:szCs w:val="32"/>
        </w:rPr>
        <w:t>统一负责县域农村生活污水治理（含厂站及管网）项目“投、建、管、运”</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none"/>
          <w:lang w:val="en-US" w:eastAsia="zh-CN"/>
        </w:rPr>
        <w:t>依法依规与专业公司签订协议（合同），推进农村生活污水规范化治理。</w:t>
      </w:r>
      <w:r>
        <w:rPr>
          <w:rFonts w:hint="eastAsia" w:ascii="仿宋_GB2312" w:hAnsi="仿宋_GB2312" w:eastAsia="仿宋_GB2312" w:cs="仿宋_GB2312"/>
          <w:b/>
          <w:bCs/>
          <w:color w:val="auto"/>
          <w:sz w:val="32"/>
          <w:szCs w:val="32"/>
        </w:rPr>
        <w:t>（指导单位：</w:t>
      </w:r>
      <w:r>
        <w:rPr>
          <w:rFonts w:hint="eastAsia" w:ascii="仿宋_GB2312" w:hAnsi="仿宋_GB2312" w:eastAsia="仿宋_GB2312" w:cs="仿宋_GB2312"/>
          <w:b/>
          <w:bCs/>
          <w:color w:val="auto"/>
          <w:sz w:val="32"/>
          <w:szCs w:val="32"/>
          <w:lang w:eastAsia="zh-CN"/>
        </w:rPr>
        <w:t>安溪</w:t>
      </w:r>
      <w:r>
        <w:rPr>
          <w:rFonts w:hint="eastAsia" w:ascii="仿宋_GB2312" w:hAnsi="仿宋_GB2312" w:eastAsia="仿宋_GB2312" w:cs="仿宋_GB2312"/>
          <w:b/>
          <w:bCs/>
          <w:color w:val="auto"/>
          <w:sz w:val="32"/>
          <w:szCs w:val="32"/>
        </w:rPr>
        <w:t>生态环境局、</w:t>
      </w:r>
      <w:r>
        <w:rPr>
          <w:rFonts w:hint="eastAsia" w:ascii="仿宋_GB2312" w:hAnsi="仿宋_GB2312" w:eastAsia="仿宋_GB2312" w:cs="仿宋_GB2312"/>
          <w:b/>
          <w:bCs/>
          <w:color w:val="auto"/>
          <w:sz w:val="32"/>
          <w:szCs w:val="32"/>
          <w:lang w:eastAsia="zh-CN"/>
        </w:rPr>
        <w:t>县</w:t>
      </w:r>
      <w:r>
        <w:rPr>
          <w:rFonts w:hint="eastAsia" w:ascii="仿宋_GB2312" w:hAnsi="仿宋_GB2312" w:eastAsia="仿宋_GB2312" w:cs="仿宋_GB2312"/>
          <w:b/>
          <w:bCs/>
          <w:color w:val="auto"/>
          <w:sz w:val="32"/>
          <w:szCs w:val="32"/>
        </w:rPr>
        <w:t>发改</w:t>
      </w:r>
      <w:r>
        <w:rPr>
          <w:rFonts w:hint="eastAsia" w:ascii="仿宋_GB2312" w:hAnsi="仿宋_GB2312" w:eastAsia="仿宋_GB2312" w:cs="仿宋_GB2312"/>
          <w:b/>
          <w:bCs/>
          <w:color w:val="auto"/>
          <w:sz w:val="32"/>
          <w:szCs w:val="32"/>
          <w:lang w:eastAsia="zh-CN"/>
        </w:rPr>
        <w:t>局</w:t>
      </w:r>
      <w:r>
        <w:rPr>
          <w:rFonts w:hint="eastAsia" w:ascii="仿宋_GB2312" w:hAnsi="仿宋_GB2312" w:eastAsia="仿宋_GB2312" w:cs="仿宋_GB2312"/>
          <w:b/>
          <w:bCs/>
          <w:color w:val="auto"/>
          <w:sz w:val="32"/>
          <w:szCs w:val="32"/>
        </w:rPr>
        <w:t>、城管局、水利局按职责分工）</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稳步推进一体化。</w:t>
      </w:r>
      <w:r>
        <w:rPr>
          <w:rFonts w:hint="eastAsia" w:ascii="仿宋_GB2312" w:hAnsi="仿宋_GB2312" w:eastAsia="仿宋_GB2312" w:cs="仿宋_GB2312"/>
          <w:sz w:val="32"/>
          <w:szCs w:val="32"/>
        </w:rPr>
        <w:t>坚持建管一体化、</w:t>
      </w:r>
      <w:r>
        <w:rPr>
          <w:rFonts w:hint="eastAsia" w:ascii="仿宋_GB2312" w:hAnsi="仿宋_GB2312" w:eastAsia="仿宋_GB2312" w:cs="仿宋_GB2312"/>
          <w:sz w:val="32"/>
          <w:szCs w:val="32"/>
          <w:lang w:val="en-US" w:eastAsia="zh-CN"/>
        </w:rPr>
        <w:t>水务</w:t>
      </w:r>
      <w:r>
        <w:rPr>
          <w:rFonts w:hint="eastAsia" w:ascii="仿宋_GB2312" w:hAnsi="仿宋_GB2312" w:eastAsia="仿宋_GB2312" w:cs="仿宋_GB2312"/>
          <w:sz w:val="32"/>
          <w:szCs w:val="32"/>
        </w:rPr>
        <w:t>一体化</w:t>
      </w:r>
      <w:bookmarkStart w:id="0" w:name="_Hlk74123043"/>
      <w:r>
        <w:rPr>
          <w:rFonts w:hint="eastAsia" w:ascii="仿宋_GB2312" w:hAnsi="仿宋_GB2312" w:eastAsia="仿宋_GB2312" w:cs="仿宋_GB2312"/>
          <w:sz w:val="32"/>
          <w:szCs w:val="32"/>
        </w:rPr>
        <w:t>、城乡一体化，统筹考虑区域协同搭配、收益平衡，将农村生活污水治理、城镇污水处理、城乡供水整体打包给专业公司统一负责建设运维</w:t>
      </w:r>
      <w:bookmarkEnd w:id="0"/>
      <w:r>
        <w:rPr>
          <w:rFonts w:hint="eastAsia" w:ascii="仿宋_GB2312" w:hAnsi="仿宋_GB2312" w:eastAsia="仿宋_GB2312" w:cs="仿宋_GB2312"/>
          <w:sz w:val="32"/>
          <w:szCs w:val="32"/>
        </w:rPr>
        <w:t>。对接入城镇污水处理厂的村庄污水管网与城镇污水管网统一规划、统一建设，日常运维由城镇污水厂网运维单位统一负责。</w:t>
      </w:r>
      <w:r>
        <w:rPr>
          <w:rFonts w:hint="eastAsia" w:ascii="仿宋_GB2312" w:hAnsi="仿宋_GB2312" w:eastAsia="仿宋_GB2312" w:cs="仿宋_GB2312"/>
          <w:b/>
          <w:bCs/>
          <w:sz w:val="32"/>
          <w:szCs w:val="32"/>
        </w:rPr>
        <w:t>（指导单位：</w:t>
      </w:r>
      <w:r>
        <w:rPr>
          <w:rFonts w:hint="eastAsia" w:ascii="仿宋_GB2312" w:hAnsi="仿宋_GB2312" w:eastAsia="仿宋_GB2312" w:cs="仿宋_GB2312"/>
          <w:b/>
          <w:bCs/>
          <w:sz w:val="32"/>
          <w:szCs w:val="32"/>
          <w:lang w:eastAsia="zh-CN"/>
        </w:rPr>
        <w:t>安溪</w:t>
      </w:r>
      <w:r>
        <w:rPr>
          <w:rFonts w:hint="eastAsia" w:ascii="仿宋_GB2312" w:hAnsi="仿宋_GB2312" w:eastAsia="仿宋_GB2312" w:cs="仿宋_GB2312"/>
          <w:b/>
          <w:bCs/>
          <w:sz w:val="32"/>
          <w:szCs w:val="32"/>
        </w:rPr>
        <w:t>生态环境局、</w:t>
      </w:r>
      <w:r>
        <w:rPr>
          <w:rFonts w:hint="eastAsia" w:ascii="仿宋_GB2312" w:hAnsi="仿宋_GB2312" w:eastAsia="仿宋_GB2312" w:cs="仿宋_GB2312"/>
          <w:b/>
          <w:bCs/>
          <w:sz w:val="32"/>
          <w:szCs w:val="32"/>
          <w:lang w:eastAsia="zh-CN"/>
        </w:rPr>
        <w:t>县</w:t>
      </w:r>
      <w:r>
        <w:rPr>
          <w:rFonts w:hint="eastAsia" w:ascii="仿宋_GB2312" w:hAnsi="仿宋_GB2312" w:eastAsia="仿宋_GB2312" w:cs="仿宋_GB2312"/>
          <w:b/>
          <w:bCs/>
          <w:sz w:val="32"/>
          <w:szCs w:val="32"/>
        </w:rPr>
        <w:t>城管局、水利局按职责分工）</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推进资产整合。</w:t>
      </w:r>
      <w:r>
        <w:rPr>
          <w:rFonts w:hint="eastAsia" w:ascii="仿宋_GB2312" w:hAnsi="仿宋_GB2312" w:eastAsia="仿宋_GB2312" w:cs="仿宋_GB2312"/>
          <w:sz w:val="32"/>
          <w:szCs w:val="32"/>
        </w:rPr>
        <w:t>根据产权及经营权归属，依法依规、分类分步推进农村生活污水处理设施资产整合，逐步实现由同一公司负责。对产权及经营权属于集体或国有的，通过</w:t>
      </w:r>
      <w:r>
        <w:rPr>
          <w:rFonts w:hint="eastAsia" w:ascii="仿宋_GB2312" w:hAnsi="仿宋_GB2312" w:eastAsia="仿宋_GB2312" w:cs="仿宋_GB2312"/>
          <w:sz w:val="32"/>
          <w:szCs w:val="32"/>
          <w:lang w:val="en-US" w:eastAsia="zh-CN"/>
        </w:rPr>
        <w:t>转让</w:t>
      </w:r>
      <w:r>
        <w:rPr>
          <w:rFonts w:hint="eastAsia" w:ascii="仿宋_GB2312" w:hAnsi="仿宋_GB2312" w:eastAsia="仿宋_GB2312" w:cs="仿宋_GB2312"/>
          <w:sz w:val="32"/>
          <w:szCs w:val="32"/>
        </w:rPr>
        <w:t>、租赁、作价入股、委托代管、兼并收购等方式整合；对其他情形的，鼓励通过作价入股、兼并收购等方式进行资产回购，或待特许经营期限到期后实施整合。在资产整合过程中要规范运作，防止国有资产流失。</w:t>
      </w:r>
      <w:r>
        <w:rPr>
          <w:rFonts w:hint="eastAsia" w:ascii="仿宋_GB2312" w:hAnsi="仿宋_GB2312" w:eastAsia="仿宋_GB2312" w:cs="仿宋_GB2312"/>
          <w:b/>
          <w:bCs/>
          <w:sz w:val="32"/>
          <w:szCs w:val="32"/>
        </w:rPr>
        <w:t>（指导单位：</w:t>
      </w:r>
      <w:r>
        <w:rPr>
          <w:rFonts w:hint="eastAsia" w:ascii="仿宋_GB2312" w:hAnsi="仿宋_GB2312" w:eastAsia="仿宋_GB2312" w:cs="仿宋_GB2312"/>
          <w:b/>
          <w:bCs/>
          <w:sz w:val="32"/>
          <w:szCs w:val="32"/>
          <w:lang w:eastAsia="zh-CN"/>
        </w:rPr>
        <w:t>县财政局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安溪</w:t>
      </w:r>
      <w:r>
        <w:rPr>
          <w:rFonts w:hint="eastAsia" w:ascii="仿宋_GB2312" w:hAnsi="仿宋_GB2312" w:eastAsia="仿宋_GB2312" w:cs="仿宋_GB2312"/>
          <w:b/>
          <w:bCs/>
          <w:sz w:val="32"/>
          <w:szCs w:val="32"/>
        </w:rPr>
        <w:t>生态环境局、城管局、水利局按职责分工）</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0" w:firstLineChars="200"/>
        <w:jc w:val="both"/>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val="en-US" w:eastAsia="zh-CN"/>
        </w:rPr>
        <w:t>八</w:t>
      </w:r>
      <w:r>
        <w:rPr>
          <w:rFonts w:hint="eastAsia" w:ascii="楷体_GB2312" w:hAnsi="楷体_GB2312" w:eastAsia="楷体_GB2312" w:cs="楷体_GB2312"/>
          <w:b w:val="0"/>
          <w:bCs/>
          <w:sz w:val="32"/>
          <w:szCs w:val="32"/>
        </w:rPr>
        <w:t>）强化资金保障</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highlight w:val="yellow"/>
          <w:u w:val="none"/>
          <w:lang w:val="en-US" w:eastAsia="zh-CN"/>
        </w:rPr>
      </w:pPr>
      <w:r>
        <w:rPr>
          <w:rFonts w:hint="eastAsia" w:ascii="仿宋_GB2312" w:hAnsi="仿宋_GB2312" w:eastAsia="仿宋_GB2312" w:cs="仿宋_GB2312"/>
          <w:b/>
          <w:sz w:val="32"/>
          <w:szCs w:val="32"/>
          <w:highlight w:val="none"/>
          <w:u w:val="none"/>
          <w:vertAlign w:val="baseline"/>
          <w:lang w:val="en-US" w:eastAsia="zh-CN"/>
        </w:rPr>
        <w:t>1.落实各级财政补助资金。</w:t>
      </w:r>
      <w:r>
        <w:rPr>
          <w:rFonts w:hint="eastAsia" w:ascii="仿宋_GB2312" w:hAnsi="仿宋_GB2312" w:eastAsia="仿宋_GB2312" w:cs="仿宋_GB2312"/>
          <w:sz w:val="32"/>
          <w:szCs w:val="32"/>
          <w:highlight w:val="none"/>
          <w:u w:val="none"/>
          <w:vertAlign w:val="baseline"/>
          <w:lang w:val="en-US" w:eastAsia="zh-CN"/>
        </w:rPr>
        <w:t>从2022年起至2025年，市财政统筹安排市级农村生活污水治理专项资金，并根据年度任务数，按纳厂和集中技术路线（治理类）完成提升治理验收的村庄每村奖补20万元、分散技术路线（管控类）完成提升治理验收的村庄每村奖补5万元的标准给予补助。我县将统筹使用好省、市农村生活污水提升治理资金，并负责兜底保障。每年10月前，各乡镇上报下一年度计划完成提升治理村庄名单；生态环境局会同财政局结合年度预算安排，在当年度治理任务下达后先行预拨70%的市级奖补资金；提升治理项目竣工后，及时组织对项目进行验收，市级进行抽查，经县级验收、市级抽查合格后，下拨剩余30%的市级奖补资金。抽查验收不合格的项目，市级将不予奖补，并收回预拨市级奖补资金。</w:t>
      </w:r>
      <w:r>
        <w:rPr>
          <w:rFonts w:hint="eastAsia" w:ascii="仿宋_GB2312" w:hAnsi="仿宋_GB2312" w:eastAsia="仿宋_GB2312" w:cs="仿宋_GB2312"/>
          <w:b/>
          <w:bCs/>
          <w:sz w:val="32"/>
          <w:szCs w:val="32"/>
          <w:highlight w:val="none"/>
          <w:u w:val="none"/>
          <w:vertAlign w:val="baseline"/>
          <w:lang w:val="en-US" w:eastAsia="zh-CN"/>
        </w:rPr>
        <w:t>（责任单位：县财政局、安溪生态环境局）</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highlight w:val="none"/>
          <w:u w:val="none"/>
          <w:vertAlign w:val="baseline"/>
          <w:lang w:val="en-US" w:eastAsia="zh-CN"/>
        </w:rPr>
      </w:pPr>
      <w:r>
        <w:rPr>
          <w:rFonts w:hint="eastAsia" w:ascii="仿宋_GB2312" w:hAnsi="仿宋_GB2312" w:eastAsia="仿宋_GB2312" w:cs="仿宋_GB2312"/>
          <w:b/>
          <w:sz w:val="32"/>
          <w:szCs w:val="32"/>
          <w:lang w:val="en-US" w:eastAsia="zh-CN"/>
        </w:rPr>
        <w:t>2.统筹整合各类扶持资金。</w:t>
      </w:r>
      <w:r>
        <w:rPr>
          <w:rFonts w:hint="eastAsia" w:ascii="仿宋_GB2312" w:hAnsi="仿宋_GB2312" w:eastAsia="仿宋_GB2312" w:cs="仿宋_GB2312"/>
          <w:sz w:val="32"/>
          <w:szCs w:val="32"/>
          <w:highlight w:val="none"/>
          <w:u w:val="none"/>
          <w:vertAlign w:val="baseline"/>
          <w:lang w:val="en-US" w:eastAsia="zh-CN"/>
        </w:rPr>
        <w:t>按中央、省、市的有关要求，</w:t>
      </w:r>
      <w:r>
        <w:rPr>
          <w:rFonts w:hint="eastAsia" w:ascii="仿宋_GB2312" w:hAnsi="仿宋_GB2312" w:eastAsia="仿宋_GB2312" w:cs="仿宋_GB2312"/>
          <w:b w:val="0"/>
          <w:bCs/>
          <w:sz w:val="32"/>
          <w:szCs w:val="32"/>
          <w:lang w:val="en-US" w:eastAsia="zh-CN"/>
        </w:rPr>
        <w:t>积极将</w:t>
      </w:r>
      <w:r>
        <w:rPr>
          <w:rFonts w:hint="eastAsia" w:ascii="仿宋_GB2312" w:hAnsi="仿宋_GB2312" w:eastAsia="仿宋_GB2312" w:cs="仿宋_GB2312"/>
          <w:sz w:val="32"/>
          <w:szCs w:val="32"/>
          <w:highlight w:val="none"/>
          <w:u w:val="none"/>
          <w:vertAlign w:val="baseline"/>
          <w:lang w:val="en-US" w:eastAsia="zh-CN"/>
        </w:rPr>
        <w:t>农村生活污水提升治理项目申报纳入上级项目储备库，</w:t>
      </w:r>
      <w:r>
        <w:rPr>
          <w:rFonts w:hint="eastAsia" w:ascii="仿宋_GB2312" w:hAnsi="仿宋_GB2312" w:eastAsia="仿宋_GB2312" w:cs="仿宋_GB2312"/>
          <w:sz w:val="32"/>
          <w:szCs w:val="32"/>
          <w:highlight w:val="none"/>
          <w:u w:val="none"/>
          <w:lang w:val="en-US" w:eastAsia="zh-CN"/>
        </w:rPr>
        <w:t>积</w:t>
      </w:r>
      <w:r>
        <w:rPr>
          <w:rFonts w:hint="eastAsia" w:ascii="仿宋_GB2312" w:hAnsi="仿宋_GB2312" w:eastAsia="仿宋_GB2312" w:cs="仿宋_GB2312"/>
          <w:sz w:val="32"/>
          <w:szCs w:val="32"/>
          <w:lang w:val="en-US" w:eastAsia="zh-CN"/>
        </w:rPr>
        <w:t>极争取中央农村环境整治资金、省级农村生活污水治理“以奖代补”资金支持；统筹市级晋江洛阳江上游水资源保护补偿资金、市级重点流域水环境综合整治专项资金、省级乡村振兴试点村配套补助专项资金等涉农、涉水资金，优先用于农村生活污水治理设施建设及运维。将土地出让收益、乡村振兴等资金分别按不低于2%、5%的比例保障用于农村生活污水治理。</w:t>
      </w:r>
      <w:r>
        <w:rPr>
          <w:rFonts w:hint="eastAsia" w:ascii="仿宋_GB2312" w:hAnsi="仿宋_GB2312" w:eastAsia="仿宋_GB2312" w:cs="仿宋_GB2312"/>
          <w:b/>
          <w:bCs/>
          <w:sz w:val="32"/>
          <w:szCs w:val="32"/>
          <w:highlight w:val="none"/>
          <w:u w:val="none"/>
          <w:vertAlign w:val="baseline"/>
          <w:lang w:val="en-US" w:eastAsia="zh-CN"/>
        </w:rPr>
        <w:t>（指导单位：县财政局、安溪生态环境局、农业农村局、资源局、水利局按职责分工）</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highlight w:val="none"/>
          <w:u w:val="none"/>
          <w:vertAlign w:val="baseline"/>
          <w:lang w:val="en-US" w:eastAsia="zh-CN"/>
        </w:rPr>
      </w:pPr>
      <w:r>
        <w:rPr>
          <w:rFonts w:hint="eastAsia" w:ascii="仿宋_GB2312" w:hAnsi="仿宋_GB2312" w:eastAsia="仿宋_GB2312" w:cs="仿宋_GB2312"/>
          <w:b/>
          <w:color w:val="auto"/>
          <w:sz w:val="32"/>
          <w:szCs w:val="32"/>
          <w:lang w:val="en-US" w:eastAsia="zh-CN"/>
        </w:rPr>
        <w:t>3.</w:t>
      </w:r>
      <w:r>
        <w:rPr>
          <w:rFonts w:hint="eastAsia" w:ascii="仿宋_GB2312" w:hAnsi="仿宋_GB2312" w:eastAsia="仿宋_GB2312" w:cs="仿宋_GB2312"/>
          <w:b/>
          <w:color w:val="auto"/>
          <w:sz w:val="32"/>
          <w:szCs w:val="32"/>
        </w:rPr>
        <w:t>拓宽筹资渠道。</w:t>
      </w:r>
      <w:r>
        <w:rPr>
          <w:rFonts w:hint="eastAsia" w:ascii="仿宋_GB2312" w:hAnsi="仿宋_GB2312" w:eastAsia="仿宋_GB2312" w:cs="仿宋_GB2312"/>
          <w:color w:val="auto"/>
          <w:sz w:val="32"/>
          <w:szCs w:val="32"/>
          <w:highlight w:val="none"/>
          <w:u w:val="none"/>
          <w:vertAlign w:val="baseline"/>
          <w:lang w:val="en-US" w:eastAsia="zh-CN"/>
        </w:rPr>
        <w:t>项目资本金比例按国家、省、市相关政策规定执行，由省、市两级补助，县级财政配套出资、专业公司参与方出资构成；其余资金通过申请专项债券、银行融资等方式多渠道筹集。</w:t>
      </w:r>
      <w:r>
        <w:rPr>
          <w:rFonts w:hint="eastAsia" w:ascii="仿宋_GB2312" w:hAnsi="仿宋_GB2312" w:eastAsia="仿宋_GB2312" w:cs="仿宋_GB2312"/>
          <w:b/>
          <w:bCs/>
          <w:sz w:val="32"/>
          <w:szCs w:val="32"/>
          <w:highlight w:val="none"/>
          <w:u w:val="none"/>
          <w:vertAlign w:val="baseline"/>
          <w:lang w:val="en-US" w:eastAsia="zh-CN"/>
        </w:rPr>
        <w:t>（指导单位：县财政局、县发改局、安溪生态环境局、金融办</w:t>
      </w:r>
      <w:r>
        <w:rPr>
          <w:rFonts w:hint="eastAsia" w:ascii="仿宋_GB2312" w:hAnsi="仿宋_GB2312" w:eastAsia="仿宋_GB2312" w:cs="仿宋_GB2312"/>
          <w:b/>
          <w:bCs/>
          <w:color w:val="000000" w:themeColor="text1"/>
          <w:sz w:val="32"/>
          <w:szCs w:val="32"/>
          <w14:textFill>
            <w14:solidFill>
              <w14:schemeClr w14:val="tx1"/>
            </w14:solidFill>
          </w14:textFill>
        </w:rPr>
        <w:t>按职责分工</w:t>
      </w:r>
      <w:r>
        <w:rPr>
          <w:rFonts w:hint="eastAsia" w:ascii="仿宋_GB2312" w:hAnsi="仿宋_GB2312" w:eastAsia="仿宋_GB2312" w:cs="仿宋_GB2312"/>
          <w:b/>
          <w:bCs/>
          <w:sz w:val="32"/>
          <w:szCs w:val="32"/>
          <w:highlight w:val="none"/>
          <w:u w:val="none"/>
          <w:vertAlign w:val="baseli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highlight w:val="none"/>
          <w:u w:val="none"/>
          <w:vertAlign w:val="baseline"/>
          <w:lang w:val="en-US" w:eastAsia="zh-CN"/>
        </w:rPr>
      </w:pPr>
      <w:r>
        <w:rPr>
          <w:rFonts w:hint="eastAsia" w:ascii="仿宋_GB2312" w:hAnsi="仿宋_GB2312" w:eastAsia="仿宋_GB2312" w:cs="仿宋_GB2312"/>
          <w:b/>
          <w:sz w:val="32"/>
          <w:szCs w:val="32"/>
          <w:lang w:val="en-US" w:eastAsia="zh-CN"/>
        </w:rPr>
        <w:t>4.</w:t>
      </w:r>
      <w:r>
        <w:rPr>
          <w:rFonts w:hint="eastAsia" w:ascii="仿宋_GB2312" w:hAnsi="仿宋_GB2312" w:eastAsia="仿宋_GB2312" w:cs="仿宋_GB2312"/>
          <w:b/>
          <w:sz w:val="32"/>
          <w:szCs w:val="32"/>
        </w:rPr>
        <w:t>推行使用者付费。</w:t>
      </w:r>
      <w:r>
        <w:rPr>
          <w:rFonts w:hint="eastAsia" w:ascii="仿宋_GB2312" w:hAnsi="仿宋_GB2312" w:eastAsia="仿宋_GB2312" w:cs="仿宋_GB2312"/>
          <w:sz w:val="32"/>
          <w:szCs w:val="32"/>
          <w:highlight w:val="none"/>
          <w:lang w:val="en-US" w:eastAsia="zh-CN"/>
        </w:rPr>
        <w:t>要</w:t>
      </w:r>
      <w:r>
        <w:rPr>
          <w:rFonts w:hint="eastAsia" w:ascii="仿宋_GB2312" w:hAnsi="仿宋_GB2312" w:eastAsia="仿宋_GB2312" w:cs="仿宋_GB2312"/>
          <w:sz w:val="32"/>
          <w:szCs w:val="32"/>
          <w:highlight w:val="none"/>
        </w:rPr>
        <w:t>综合考虑污水处理成本、农户承受能力等因素，建立财政补贴与使用者付费的合理分担机制，</w:t>
      </w:r>
      <w:r>
        <w:rPr>
          <w:rFonts w:hint="eastAsia" w:ascii="仿宋_GB2312" w:hAnsi="仿宋_GB2312" w:eastAsia="仿宋_GB2312" w:cs="仿宋_GB2312"/>
          <w:sz w:val="32"/>
          <w:szCs w:val="32"/>
          <w:highlight w:val="none"/>
          <w:lang w:val="en-US" w:eastAsia="zh-CN"/>
        </w:rPr>
        <w:t>于2022年结合城镇自来水覆盖面征收农村污水处理</w:t>
      </w:r>
      <w:r>
        <w:rPr>
          <w:rFonts w:hint="eastAsia" w:ascii="仿宋_GB2312" w:hAnsi="仿宋_GB2312" w:eastAsia="仿宋_GB2312" w:cs="仿宋_GB2312"/>
          <w:sz w:val="32"/>
          <w:szCs w:val="32"/>
          <w:highlight w:val="none"/>
        </w:rPr>
        <w:t>费，</w:t>
      </w:r>
      <w:r>
        <w:rPr>
          <w:rFonts w:hint="eastAsia" w:ascii="仿宋_GB2312" w:hAnsi="仿宋_GB2312" w:eastAsia="仿宋_GB2312" w:cs="仿宋_GB2312"/>
          <w:sz w:val="32"/>
          <w:szCs w:val="32"/>
          <w:highlight w:val="none"/>
          <w:lang w:val="en-US" w:eastAsia="zh-CN"/>
        </w:rPr>
        <w:t>污水处理费专项用于污水治理，</w:t>
      </w:r>
      <w:r>
        <w:rPr>
          <w:rFonts w:hint="eastAsia" w:ascii="仿宋_GB2312" w:hAnsi="仿宋_GB2312" w:eastAsia="仿宋_GB2312" w:cs="仿宋_GB2312"/>
          <w:sz w:val="32"/>
          <w:szCs w:val="32"/>
          <w:highlight w:val="none"/>
        </w:rPr>
        <w:t>鼓励依托供水公司代收污水处理费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探索依托供电公司代收污水处理费</w:t>
      </w:r>
      <w:r>
        <w:rPr>
          <w:rFonts w:hint="eastAsia" w:ascii="仿宋_GB2312" w:hAnsi="仿宋_GB2312" w:eastAsia="仿宋_GB2312" w:cs="仿宋_GB2312"/>
          <w:sz w:val="32"/>
          <w:szCs w:val="32"/>
          <w:highlight w:val="none"/>
        </w:rPr>
        <w:t>。污水处理费未能达到运行维护成本期间，由</w:t>
      </w:r>
      <w:r>
        <w:rPr>
          <w:rFonts w:hint="eastAsia" w:ascii="仿宋_GB2312" w:hAnsi="仿宋_GB2312" w:eastAsia="仿宋_GB2312" w:cs="仿宋_GB2312"/>
          <w:sz w:val="32"/>
          <w:szCs w:val="32"/>
          <w:highlight w:val="none"/>
          <w:lang w:eastAsia="zh-CN"/>
        </w:rPr>
        <w:t>县财政</w:t>
      </w:r>
      <w:r>
        <w:rPr>
          <w:rFonts w:hint="eastAsia" w:ascii="仿宋_GB2312" w:hAnsi="仿宋_GB2312" w:eastAsia="仿宋_GB2312" w:cs="仿宋_GB2312"/>
          <w:sz w:val="32"/>
          <w:szCs w:val="32"/>
          <w:highlight w:val="none"/>
        </w:rPr>
        <w:t>予以补足。</w:t>
      </w:r>
      <w:r>
        <w:rPr>
          <w:rFonts w:hint="eastAsia" w:ascii="仿宋_GB2312" w:hAnsi="仿宋_GB2312" w:eastAsia="仿宋_GB2312" w:cs="仿宋_GB2312"/>
          <w:b/>
          <w:bCs/>
          <w:sz w:val="32"/>
          <w:szCs w:val="32"/>
          <w:highlight w:val="none"/>
          <w:u w:val="none"/>
          <w:vertAlign w:val="baseline"/>
          <w:lang w:val="en-US" w:eastAsia="zh-CN"/>
        </w:rPr>
        <w:t>（指导单位：县发改局、财政局、安溪生态环境局牵头，县城管局、水利局配合）</w:t>
      </w:r>
    </w:p>
    <w:p>
      <w:pPr>
        <w:keepNext w:val="0"/>
        <w:keepLines w:val="0"/>
        <w:pageBreakBefore w:val="0"/>
        <w:widowControl w:val="0"/>
        <w:kinsoku/>
        <w:wordWrap/>
        <w:overflowPunct/>
        <w:topLinePunct w:val="0"/>
        <w:autoSpaceDE/>
        <w:autoSpaceDN/>
        <w:bidi w:val="0"/>
        <w:spacing w:line="570" w:lineRule="exact"/>
        <w:ind w:left="0" w:leftChars="0" w:right="0" w:rightChars="0" w:firstLine="640" w:firstLineChars="200"/>
        <w:jc w:val="both"/>
        <w:textAlignment w:val="auto"/>
        <w:outlineLvl w:val="9"/>
        <w:rPr>
          <w:rFonts w:hint="eastAsia" w:ascii="黑体" w:hAnsi="黑体" w:eastAsia="黑体" w:cs="黑体"/>
          <w:bCs/>
          <w:sz w:val="32"/>
          <w:szCs w:val="32"/>
          <w:highlight w:val="none"/>
        </w:rPr>
      </w:pPr>
      <w:r>
        <w:rPr>
          <w:rFonts w:hint="eastAsia" w:ascii="黑体" w:hAnsi="黑体" w:eastAsia="黑体" w:cs="黑体"/>
          <w:bCs/>
          <w:sz w:val="32"/>
          <w:szCs w:val="32"/>
          <w:highlight w:val="none"/>
        </w:rPr>
        <w:t>四、保障措施</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0" w:firstLineChars="200"/>
        <w:jc w:val="both"/>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val="en-US" w:eastAsia="zh-CN"/>
        </w:rPr>
        <w:t>九</w:t>
      </w:r>
      <w:r>
        <w:rPr>
          <w:rFonts w:hint="eastAsia" w:ascii="楷体_GB2312" w:hAnsi="楷体_GB2312" w:eastAsia="楷体_GB2312" w:cs="楷体_GB2312"/>
          <w:b w:val="0"/>
          <w:bCs/>
          <w:sz w:val="32"/>
          <w:szCs w:val="32"/>
        </w:rPr>
        <w:t>）强化组织推进</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落实属地责任。</w:t>
      </w:r>
      <w:r>
        <w:rPr>
          <w:rFonts w:hint="eastAsia" w:ascii="仿宋_GB2312" w:hAnsi="仿宋_GB2312" w:eastAsia="仿宋_GB2312" w:cs="仿宋_GB2312"/>
          <w:sz w:val="32"/>
          <w:szCs w:val="32"/>
          <w:highlight w:val="none"/>
          <w:lang w:val="en-US" w:eastAsia="zh-CN"/>
        </w:rPr>
        <w:t>县政府成立由县长任组长、常务副县长任副组长，相关部门主要负责人为成员的农村生活污水提升治理工作领导小组，定期研究部署推进全县农村生活污水提升治理工作；组建农村生活污水提升治理工作专班，工作专班设在县环委办，由县住建局、城管局、农业农村局、安溪生态环境局等工作人员组成，负责协调方案实施、项目调度推进、组织抽查检查等工作。</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rPr>
        <w:t>农村生活污水治理的责任主体，</w:t>
      </w:r>
      <w:r>
        <w:rPr>
          <w:rFonts w:hint="eastAsia" w:ascii="仿宋_GB2312" w:hAnsi="仿宋_GB2312" w:eastAsia="仿宋_GB2312" w:cs="仿宋_GB2312"/>
          <w:sz w:val="32"/>
          <w:szCs w:val="32"/>
          <w:lang w:val="en-US" w:eastAsia="zh-CN"/>
        </w:rPr>
        <w:t>要按照政府“一把手”工程要求，成立农村生活污水提升治理工作领导小组，主要领导任组长、分管领导具体负责，切实加强组织领导；并指定专人负责做好</w:t>
      </w:r>
      <w:r>
        <w:rPr>
          <w:rFonts w:hint="eastAsia" w:ascii="仿宋_GB2312" w:hAnsi="仿宋_GB2312" w:eastAsia="仿宋_GB2312" w:cs="仿宋_GB2312"/>
          <w:kern w:val="2"/>
          <w:sz w:val="32"/>
          <w:szCs w:val="32"/>
          <w:lang w:val="en-US" w:eastAsia="zh-CN" w:bidi="ar-SA"/>
        </w:rPr>
        <w:t>项目审批、用地征地、施工建设等工作，协调</w:t>
      </w:r>
      <w:r>
        <w:rPr>
          <w:rFonts w:hint="eastAsia" w:ascii="仿宋_GB2312" w:hAnsi="仿宋_GB2312" w:eastAsia="仿宋_GB2312" w:cs="仿宋_GB2312"/>
          <w:sz w:val="32"/>
          <w:szCs w:val="32"/>
          <w:lang w:val="en-US" w:eastAsia="zh-CN"/>
        </w:rPr>
        <w:t>解决实施过程中的各种问题，强化跟踪督促，加大行政推动力</w:t>
      </w:r>
      <w:r>
        <w:rPr>
          <w:rFonts w:hint="eastAsia" w:ascii="仿宋_GB2312" w:hAnsi="仿宋_GB2312" w:eastAsia="仿宋_GB2312" w:cs="仿宋_GB2312"/>
          <w:sz w:val="32"/>
          <w:szCs w:val="32"/>
        </w:rPr>
        <w:t>。治理成效纳入</w:t>
      </w:r>
      <w:r>
        <w:rPr>
          <w:rFonts w:hint="eastAsia" w:ascii="仿宋_GB2312" w:hAnsi="仿宋_GB2312" w:eastAsia="仿宋_GB2312" w:cs="仿宋_GB2312"/>
          <w:sz w:val="32"/>
          <w:szCs w:val="32"/>
          <w:lang w:val="en-US" w:eastAsia="zh-CN"/>
        </w:rPr>
        <w:t>乡镇党政领导生态环境保护目标责任书考核内容。</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3"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强化部门协同。</w:t>
      </w:r>
      <w:r>
        <w:rPr>
          <w:rFonts w:hint="eastAsia" w:ascii="仿宋_GB2312" w:hAnsi="仿宋_GB2312" w:eastAsia="仿宋_GB2312" w:cs="仿宋_GB2312"/>
          <w:color w:val="auto"/>
          <w:sz w:val="32"/>
          <w:szCs w:val="32"/>
          <w:lang w:val="en-US" w:eastAsia="zh-CN"/>
        </w:rPr>
        <w:t>各部门要加强协作，形成农村生活污水提升治理合力。县环委办负责建立健全组织协调机制，指导督促各乡镇开展农村生活污水提升治理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农业农村局将农村生活污水治理纳入乡村振兴战略</w:t>
      </w:r>
      <w:r>
        <w:rPr>
          <w:rFonts w:hint="eastAsia" w:ascii="仿宋_GB2312" w:hAnsi="仿宋_GB2312" w:eastAsia="仿宋_GB2312" w:cs="仿宋_GB2312"/>
          <w:sz w:val="32"/>
          <w:szCs w:val="32"/>
        </w:rPr>
        <w:t>、农村人居环境整治统筹推进实施。</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住建局负责农村生活污水治理项目</w:t>
      </w:r>
      <w:r>
        <w:rPr>
          <w:rFonts w:hint="eastAsia" w:ascii="仿宋_GB2312" w:hAnsi="仿宋_GB2312" w:eastAsia="仿宋_GB2312" w:cs="仿宋_GB2312"/>
          <w:sz w:val="32"/>
          <w:szCs w:val="32"/>
          <w:lang w:val="en-US" w:eastAsia="zh-CN"/>
        </w:rPr>
        <w:t>工程质量指导</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城管局负责督促指导推动城镇（含乡镇）污水处理</w:t>
      </w:r>
      <w:r>
        <w:rPr>
          <w:rFonts w:hint="eastAsia" w:ascii="仿宋_GB2312" w:hAnsi="仿宋_GB2312" w:eastAsia="仿宋_GB2312" w:cs="仿宋_GB2312"/>
          <w:sz w:val="32"/>
          <w:szCs w:val="32"/>
          <w:lang w:val="en-US" w:eastAsia="zh-CN"/>
        </w:rPr>
        <w:t>设施及配套管网的建设管理，配合实施单位将有条件的农村污水管网纳入城镇管网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卫健</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会同农业农村局指导无需纳管处理的户厕三格化粪池尾水资源化利用。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发改、财政、资源、水利等部门要加大政策、资金、要素保障，积极支持实施城乡供排水一体化。</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0" w:firstLineChars="200"/>
        <w:jc w:val="both"/>
        <w:textAlignment w:val="auto"/>
        <w:outlineLvl w:val="9"/>
        <w:rPr>
          <w:rFonts w:hint="eastAsia" w:ascii="楷体_GB2312" w:hAnsi="楷体_GB2312" w:eastAsia="楷体_GB2312" w:cs="楷体_GB2312"/>
          <w:b w:val="0"/>
          <w:bCs/>
          <w:sz w:val="32"/>
          <w:szCs w:val="32"/>
        </w:rPr>
      </w:pPr>
      <w:bookmarkStart w:id="1" w:name="_Hlk74128836"/>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val="en-US" w:eastAsia="zh-CN"/>
        </w:rPr>
        <w:t>十</w:t>
      </w:r>
      <w:r>
        <w:rPr>
          <w:rFonts w:hint="eastAsia" w:ascii="楷体_GB2312" w:hAnsi="楷体_GB2312" w:eastAsia="楷体_GB2312" w:cs="楷体_GB2312"/>
          <w:b w:val="0"/>
          <w:bCs/>
          <w:sz w:val="32"/>
          <w:szCs w:val="32"/>
        </w:rPr>
        <w:t>）完善配套政策</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highlight w:val="none"/>
          <w:u w:val="none"/>
          <w:vertAlign w:val="baseline"/>
          <w:lang w:val="en-US" w:eastAsia="zh-CN"/>
        </w:rPr>
      </w:pP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用地政策。</w:t>
      </w:r>
      <w:r>
        <w:rPr>
          <w:rFonts w:hint="eastAsia" w:ascii="仿宋_GB2312" w:hAnsi="仿宋_GB2312" w:eastAsia="仿宋_GB2312" w:cs="仿宋_GB2312"/>
          <w:sz w:val="32"/>
          <w:szCs w:val="32"/>
        </w:rPr>
        <w:t>农村生活污水治理项目依法使用国有建设用地或集体建设用地，乡镇国土空间规划和村庄规划中预留不超过5％的建设用地指标，用于农村公共公益设施等项目建设用地需求，新增建设用地计划指标由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资源局按规定分类统筹安排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开辟用地审批绿色通道，支持单列审批。</w:t>
      </w:r>
      <w:r>
        <w:rPr>
          <w:rFonts w:hint="eastAsia" w:ascii="仿宋_GB2312" w:hAnsi="仿宋_GB2312" w:eastAsia="仿宋_GB2312" w:cs="仿宋_GB2312"/>
          <w:b/>
          <w:bCs/>
          <w:sz w:val="32"/>
          <w:szCs w:val="32"/>
          <w:highlight w:val="none"/>
          <w:u w:val="none"/>
          <w:vertAlign w:val="baseline"/>
          <w:lang w:val="en-US" w:eastAsia="zh-CN"/>
        </w:rPr>
        <w:t>（指导单位：县资源局牵头）</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排污权政策。</w:t>
      </w:r>
      <w:r>
        <w:rPr>
          <w:rFonts w:hint="eastAsia" w:ascii="仿宋_GB2312" w:hAnsi="仿宋_GB2312" w:eastAsia="仿宋_GB2312" w:cs="仿宋_GB2312"/>
          <w:sz w:val="32"/>
          <w:szCs w:val="32"/>
        </w:rPr>
        <w:t>参照</w:t>
      </w:r>
      <w:r>
        <w:rPr>
          <w:rFonts w:hint="eastAsia" w:ascii="仿宋_GB2312" w:hAnsi="仿宋_GB2312" w:eastAsia="仿宋_GB2312" w:cs="仿宋_GB2312"/>
          <w:kern w:val="2"/>
          <w:sz w:val="32"/>
          <w:szCs w:val="32"/>
          <w:lang w:val="en-US" w:eastAsia="zh-CN" w:bidi="ar-SA"/>
        </w:rPr>
        <w:t>省上关于</w:t>
      </w:r>
      <w:r>
        <w:rPr>
          <w:rFonts w:hint="eastAsia" w:ascii="仿宋_GB2312" w:hAnsi="仿宋_GB2312" w:eastAsia="仿宋_GB2312" w:cs="仿宋_GB2312"/>
          <w:sz w:val="32"/>
          <w:szCs w:val="32"/>
        </w:rPr>
        <w:t>“城镇污水集中治理单位削减的污染物纳入可交易范围”的规定，将农村生活污水治理形成的“可监测、可统计、可考核”的主要污染物削减量纳入排污权交易范围。</w:t>
      </w:r>
      <w:r>
        <w:rPr>
          <w:rFonts w:hint="eastAsia" w:ascii="仿宋_GB2312" w:hAnsi="仿宋_GB2312" w:eastAsia="仿宋_GB2312" w:cs="仿宋_GB2312"/>
          <w:b/>
          <w:bCs/>
          <w:sz w:val="32"/>
          <w:szCs w:val="32"/>
          <w:highlight w:val="none"/>
          <w:u w:val="none"/>
          <w:vertAlign w:val="baseline"/>
          <w:lang w:val="en-US" w:eastAsia="zh-CN"/>
        </w:rPr>
        <w:t>（指导单位：安溪生态环境局牵头）</w:t>
      </w:r>
    </w:p>
    <w:bookmarkEnd w:id="1"/>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0" w:firstLineChars="200"/>
        <w:jc w:val="both"/>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（十</w:t>
      </w:r>
      <w:r>
        <w:rPr>
          <w:rFonts w:hint="eastAsia" w:ascii="楷体_GB2312" w:hAnsi="楷体_GB2312" w:eastAsia="楷体_GB2312" w:cs="楷体_GB2312"/>
          <w:b w:val="0"/>
          <w:bCs/>
          <w:sz w:val="32"/>
          <w:szCs w:val="32"/>
          <w:lang w:val="en-US" w:eastAsia="zh-CN"/>
        </w:rPr>
        <w:t>一</w:t>
      </w:r>
      <w:r>
        <w:rPr>
          <w:rFonts w:hint="eastAsia" w:ascii="楷体_GB2312" w:hAnsi="楷体_GB2312" w:eastAsia="楷体_GB2312" w:cs="楷体_GB2312"/>
          <w:b w:val="0"/>
          <w:bCs/>
          <w:sz w:val="32"/>
          <w:szCs w:val="32"/>
        </w:rPr>
        <w:t>）严格考核奖惩</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highlight w:val="none"/>
          <w:u w:val="none"/>
          <w:vertAlign w:val="baseline"/>
          <w:lang w:val="en-US" w:eastAsia="zh-CN"/>
        </w:rPr>
      </w:pP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建立评先挂钩机制。</w:t>
      </w:r>
      <w:r>
        <w:rPr>
          <w:rFonts w:hint="eastAsia" w:ascii="仿宋_GB2312" w:hAnsi="仿宋_GB2312" w:eastAsia="仿宋_GB2312" w:cs="仿宋_GB2312"/>
          <w:sz w:val="32"/>
          <w:szCs w:val="32"/>
        </w:rPr>
        <w:t>将农村生活污水治理工作纳入</w:t>
      </w:r>
      <w:r>
        <w:rPr>
          <w:rFonts w:hint="eastAsia" w:ascii="仿宋_GB2312" w:hAnsi="仿宋_GB2312" w:eastAsia="仿宋_GB2312" w:cs="仿宋_GB2312"/>
          <w:sz w:val="32"/>
          <w:szCs w:val="32"/>
          <w:lang w:eastAsia="zh-CN"/>
        </w:rPr>
        <w:t>乡镇党政领导生态环境保护目标责任书、</w:t>
      </w:r>
      <w:r>
        <w:rPr>
          <w:rFonts w:hint="eastAsia" w:ascii="仿宋_GB2312" w:hAnsi="仿宋_GB2312" w:eastAsia="仿宋_GB2312" w:cs="仿宋_GB2312"/>
          <w:sz w:val="32"/>
          <w:szCs w:val="32"/>
        </w:rPr>
        <w:t>乡村振兴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农村人居环境</w:t>
      </w:r>
      <w:r>
        <w:rPr>
          <w:rFonts w:hint="eastAsia" w:ascii="仿宋_GB2312" w:hAnsi="仿宋_GB2312" w:eastAsia="仿宋_GB2312" w:cs="仿宋_GB2312"/>
          <w:sz w:val="32"/>
          <w:szCs w:val="32"/>
        </w:rPr>
        <w:t>实效考评和绿盈乡村等相关创先评优标准（体系），并适当增加分值权重比例。</w:t>
      </w:r>
      <w:r>
        <w:rPr>
          <w:rFonts w:hint="eastAsia" w:ascii="仿宋_GB2312" w:hAnsi="仿宋_GB2312" w:eastAsia="仿宋_GB2312" w:cs="仿宋_GB2312"/>
          <w:b/>
          <w:bCs/>
          <w:sz w:val="32"/>
          <w:szCs w:val="32"/>
          <w:highlight w:val="none"/>
          <w:u w:val="none"/>
          <w:vertAlign w:val="baseline"/>
          <w:lang w:val="en-US" w:eastAsia="zh-CN"/>
        </w:rPr>
        <w:t>（指导单位：安溪生态环境局、县农业农村局、卫健局、城管局</w:t>
      </w:r>
      <w:r>
        <w:rPr>
          <w:rFonts w:hint="eastAsia" w:ascii="仿宋_GB2312" w:hAnsi="仿宋_GB2312" w:eastAsia="仿宋_GB2312" w:cs="仿宋_GB2312"/>
          <w:b/>
          <w:bCs/>
          <w:color w:val="000000" w:themeColor="text1"/>
          <w:sz w:val="32"/>
          <w:szCs w:val="32"/>
          <w14:textFill>
            <w14:solidFill>
              <w14:schemeClr w14:val="tx1"/>
            </w14:solidFill>
          </w14:textFill>
        </w:rPr>
        <w:t>按职责分工</w:t>
      </w:r>
      <w:r>
        <w:rPr>
          <w:rFonts w:hint="eastAsia" w:ascii="仿宋_GB2312" w:hAnsi="仿宋_GB2312" w:eastAsia="仿宋_GB2312" w:cs="仿宋_GB2312"/>
          <w:b/>
          <w:bCs/>
          <w:sz w:val="32"/>
          <w:szCs w:val="32"/>
          <w:highlight w:val="none"/>
          <w:u w:val="none"/>
          <w:vertAlign w:val="baseli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highlight w:val="none"/>
          <w:u w:val="none"/>
          <w:vertAlign w:val="baseline"/>
          <w:lang w:val="en-US" w:eastAsia="zh-CN"/>
        </w:rPr>
      </w:pPr>
      <w:r>
        <w:rPr>
          <w:rFonts w:hint="eastAsia" w:ascii="仿宋_GB2312" w:hAnsi="仿宋_GB2312" w:eastAsia="仿宋_GB2312" w:cs="仿宋_GB2312"/>
          <w:b/>
          <w:color w:val="auto"/>
          <w:sz w:val="32"/>
          <w:szCs w:val="32"/>
          <w:lang w:val="en-US" w:eastAsia="zh-CN"/>
        </w:rPr>
        <w:t>2.</w:t>
      </w:r>
      <w:r>
        <w:rPr>
          <w:rFonts w:hint="eastAsia" w:ascii="仿宋_GB2312" w:hAnsi="仿宋_GB2312" w:eastAsia="仿宋_GB2312" w:cs="仿宋_GB2312"/>
          <w:b/>
          <w:color w:val="auto"/>
          <w:sz w:val="32"/>
          <w:szCs w:val="32"/>
        </w:rPr>
        <w:t>建立资金奖惩机制。</w:t>
      </w:r>
      <w:r>
        <w:rPr>
          <w:rFonts w:hint="eastAsia" w:ascii="仿宋_GB2312" w:hAnsi="仿宋_GB2312" w:eastAsia="仿宋_GB2312" w:cs="仿宋_GB2312"/>
          <w:color w:val="auto"/>
          <w:sz w:val="32"/>
          <w:szCs w:val="32"/>
        </w:rPr>
        <w:t>对治理工作推进不力、未完成年度提升治理任务的、绩效目标未完成、预算执行进度慢的</w:t>
      </w:r>
      <w:r>
        <w:rPr>
          <w:rFonts w:hint="eastAsia" w:ascii="仿宋_GB2312" w:hAnsi="仿宋_GB2312" w:eastAsia="仿宋_GB2312" w:cs="仿宋_GB2312"/>
          <w:color w:val="auto"/>
          <w:sz w:val="32"/>
          <w:szCs w:val="32"/>
          <w:lang w:eastAsia="zh-CN"/>
        </w:rPr>
        <w:t>乡镇</w:t>
      </w:r>
      <w:r>
        <w:rPr>
          <w:rFonts w:hint="eastAsia" w:ascii="仿宋_GB2312" w:hAnsi="仿宋_GB2312" w:eastAsia="仿宋_GB2312" w:cs="仿宋_GB2312"/>
          <w:color w:val="auto"/>
          <w:sz w:val="32"/>
          <w:szCs w:val="32"/>
        </w:rPr>
        <w:t>，扣减年度</w:t>
      </w:r>
      <w:r>
        <w:rPr>
          <w:rFonts w:hint="eastAsia" w:ascii="仿宋_GB2312" w:hAnsi="仿宋_GB2312" w:eastAsia="仿宋_GB2312" w:cs="仿宋_GB2312"/>
          <w:color w:val="auto"/>
          <w:sz w:val="32"/>
          <w:szCs w:val="32"/>
          <w:lang w:eastAsia="zh-CN"/>
        </w:rPr>
        <w:t>乡村振兴、人居环境整治、绿盈乡村建设等相关</w:t>
      </w:r>
      <w:r>
        <w:rPr>
          <w:rFonts w:hint="eastAsia" w:ascii="仿宋_GB2312" w:hAnsi="仿宋_GB2312" w:eastAsia="仿宋_GB2312" w:cs="仿宋_GB2312"/>
          <w:color w:val="auto"/>
          <w:sz w:val="32"/>
          <w:szCs w:val="32"/>
        </w:rPr>
        <w:t>补助资金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sz w:val="32"/>
          <w:szCs w:val="32"/>
          <w:highlight w:val="none"/>
          <w:u w:val="none"/>
          <w:vertAlign w:val="baseline"/>
          <w:lang w:val="en-US" w:eastAsia="zh-CN"/>
        </w:rPr>
        <w:t>（指导单位：县财政局牵头，农业农村局、安溪生态环境局配合）</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highlight w:val="none"/>
          <w:u w:val="none"/>
          <w:vertAlign w:val="baseline"/>
          <w:lang w:val="en-US" w:eastAsia="zh-CN"/>
        </w:rPr>
      </w:pP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完善督导考核机制。</w:t>
      </w:r>
      <w:r>
        <w:rPr>
          <w:rFonts w:hint="eastAsia" w:ascii="仿宋_GB2312" w:hAnsi="仿宋_GB2312" w:eastAsia="仿宋_GB2312" w:cs="仿宋_GB2312"/>
          <w:sz w:val="32"/>
          <w:szCs w:val="32"/>
          <w:lang w:eastAsia="zh-CN"/>
        </w:rPr>
        <w:t>按照年度</w:t>
      </w:r>
      <w:r>
        <w:rPr>
          <w:rFonts w:hint="eastAsia" w:ascii="仿宋_GB2312" w:hAnsi="仿宋_GB2312" w:eastAsia="仿宋_GB2312" w:cs="仿宋_GB2312"/>
          <w:sz w:val="32"/>
          <w:szCs w:val="32"/>
          <w:lang w:val="en-US" w:eastAsia="zh-CN"/>
        </w:rPr>
        <w:t>提升治理</w:t>
      </w:r>
      <w:r>
        <w:rPr>
          <w:rFonts w:hint="eastAsia" w:ascii="仿宋_GB2312" w:hAnsi="仿宋_GB2312" w:eastAsia="仿宋_GB2312" w:cs="仿宋_GB2312"/>
          <w:sz w:val="32"/>
          <w:szCs w:val="32"/>
        </w:rPr>
        <w:t>任务</w:t>
      </w:r>
      <w:r>
        <w:rPr>
          <w:rFonts w:hint="eastAsia" w:ascii="仿宋_GB2312" w:hAnsi="仿宋_GB2312" w:eastAsia="仿宋_GB2312" w:cs="仿宋_GB2312"/>
          <w:sz w:val="32"/>
          <w:szCs w:val="32"/>
          <w:lang w:val="en-US" w:eastAsia="zh-CN"/>
        </w:rPr>
        <w:t>每个</w:t>
      </w:r>
      <w:r>
        <w:rPr>
          <w:rFonts w:hint="eastAsia" w:ascii="仿宋_GB2312" w:hAnsi="仿宋_GB2312" w:eastAsia="仿宋_GB2312" w:cs="仿宋_GB2312"/>
          <w:sz w:val="32"/>
          <w:szCs w:val="32"/>
        </w:rPr>
        <w:t>月开展常态化调度、督办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按年度开展</w:t>
      </w:r>
      <w:r>
        <w:rPr>
          <w:rFonts w:hint="eastAsia" w:ascii="仿宋_GB2312" w:hAnsi="仿宋_GB2312" w:eastAsia="仿宋_GB2312" w:cs="仿宋_GB2312"/>
          <w:sz w:val="32"/>
          <w:szCs w:val="32"/>
        </w:rPr>
        <w:t>考核。提高农村生活污水治理工作在</w:t>
      </w:r>
      <w:r>
        <w:rPr>
          <w:rFonts w:hint="eastAsia" w:ascii="仿宋_GB2312" w:hAnsi="仿宋_GB2312" w:eastAsia="仿宋_GB2312" w:cs="仿宋_GB2312"/>
          <w:sz w:val="32"/>
          <w:szCs w:val="32"/>
          <w:lang w:eastAsia="zh-CN"/>
        </w:rPr>
        <w:t>乡镇人民</w:t>
      </w:r>
      <w:r>
        <w:rPr>
          <w:rFonts w:hint="eastAsia" w:ascii="仿宋_GB2312" w:hAnsi="仿宋_GB2312" w:eastAsia="仿宋_GB2312" w:cs="仿宋_GB2312"/>
          <w:sz w:val="32"/>
          <w:szCs w:val="32"/>
        </w:rPr>
        <w:t>政府年度绩效考核中的分值占比，列为乡村振兴、农村人居环境整治、河湖长制考核、绿盈乡村</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约束性指标。对工作推进不力的，</w:t>
      </w:r>
      <w:r>
        <w:rPr>
          <w:rFonts w:hint="eastAsia" w:ascii="仿宋_GB2312" w:hAnsi="仿宋_GB2312" w:eastAsia="仿宋_GB2312" w:cs="仿宋_GB2312"/>
          <w:sz w:val="32"/>
          <w:szCs w:val="32"/>
          <w:lang w:eastAsia="zh-CN"/>
        </w:rPr>
        <w:t>进度滞后，</w:t>
      </w:r>
      <w:r>
        <w:rPr>
          <w:rFonts w:hint="eastAsia" w:ascii="仿宋_GB2312" w:hAnsi="仿宋_GB2312" w:eastAsia="仿宋_GB2312" w:cs="仿宋_GB2312"/>
          <w:sz w:val="32"/>
          <w:szCs w:val="32"/>
        </w:rPr>
        <w:t>实行通报约谈；对虚假治理、表面治理、敷衍治理的，</w:t>
      </w:r>
      <w:r>
        <w:rPr>
          <w:rFonts w:hint="eastAsia" w:ascii="仿宋_GB2312" w:hAnsi="仿宋_GB2312" w:eastAsia="仿宋_GB2312" w:cs="仿宋_GB2312"/>
          <w:sz w:val="32"/>
          <w:szCs w:val="32"/>
          <w:lang w:val="en-US" w:eastAsia="zh-CN"/>
        </w:rPr>
        <w:t>依法依规移交问责</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highlight w:val="none"/>
          <w:u w:val="none"/>
          <w:vertAlign w:val="baseline"/>
          <w:lang w:val="en-US" w:eastAsia="zh-CN"/>
        </w:rPr>
        <w:t>（指导单位：安溪生态环境局、县农业农村局、水利局（河长办）按职责分工）</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1893" w:leftChars="303" w:right="0" w:rightChars="0" w:hanging="1257" w:hangingChars="393"/>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eastAsia="zh-CN"/>
        </w:rPr>
        <w:t>安溪县</w:t>
      </w:r>
      <w:r>
        <w:rPr>
          <w:rFonts w:hint="eastAsia" w:ascii="仿宋_GB2312" w:hAnsi="仿宋_GB2312" w:eastAsia="仿宋_GB2312" w:cs="仿宋_GB2312"/>
          <w:sz w:val="32"/>
          <w:szCs w:val="32"/>
        </w:rPr>
        <w:t>农村生活污水提升治理2021—2025年度任务分解表</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1680" w:firstLineChars="52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pacing w:val="-6"/>
          <w:sz w:val="32"/>
          <w:szCs w:val="32"/>
          <w:lang w:eastAsia="zh-CN"/>
        </w:rPr>
        <w:t>安溪县</w:t>
      </w:r>
      <w:r>
        <w:rPr>
          <w:rFonts w:hint="eastAsia" w:ascii="仿宋_GB2312" w:hAnsi="仿宋_GB2312" w:eastAsia="仿宋_GB2312" w:cs="仿宋_GB2312"/>
          <w:spacing w:val="-6"/>
          <w:sz w:val="32"/>
          <w:szCs w:val="32"/>
        </w:rPr>
        <w:t>农村生活污水提升治理重点任务细化分解表</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1680" w:firstLineChars="52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.农村生活污水治理改革措施清单</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1600" w:firstLineChars="500"/>
        <w:jc w:val="both"/>
        <w:textAlignment w:val="auto"/>
        <w:outlineLvl w:val="9"/>
        <w:rPr>
          <w:rFonts w:hint="eastAsia"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黑体" w:eastAsia="黑体"/>
          <w:sz w:val="30"/>
          <w:szCs w:val="30"/>
        </w:rPr>
      </w:pP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黑体" w:eastAsia="黑体"/>
          <w:sz w:val="30"/>
          <w:szCs w:val="30"/>
        </w:rPr>
      </w:pPr>
    </w:p>
    <w:p>
      <w:pPr>
        <w:pStyle w:val="2"/>
        <w:rPr>
          <w:rFonts w:hint="eastAsia"/>
        </w:rPr>
      </w:pPr>
    </w:p>
    <w:p>
      <w:pPr>
        <w:adjustRightInd w:val="0"/>
        <w:snapToGrid w:val="0"/>
        <w:spacing w:line="300" w:lineRule="auto"/>
        <w:jc w:val="both"/>
        <w:rPr>
          <w:rFonts w:hint="eastAsia" w:ascii="黑体" w:eastAsia="黑体"/>
          <w:sz w:val="32"/>
          <w:szCs w:val="32"/>
        </w:rPr>
      </w:pPr>
    </w:p>
    <w:p>
      <w:pPr>
        <w:adjustRightInd w:val="0"/>
        <w:snapToGrid w:val="0"/>
        <w:spacing w:line="300" w:lineRule="auto"/>
        <w:jc w:val="both"/>
        <w:rPr>
          <w:rFonts w:hint="eastAsia" w:ascii="黑体" w:eastAsia="黑体"/>
          <w:sz w:val="32"/>
          <w:szCs w:val="32"/>
        </w:rPr>
      </w:pPr>
    </w:p>
    <w:p>
      <w:pPr>
        <w:pStyle w:val="2"/>
        <w:rPr>
          <w:rFonts w:hint="eastAsia" w:ascii="黑体" w:eastAsia="黑体"/>
          <w:sz w:val="32"/>
          <w:szCs w:val="32"/>
        </w:rPr>
      </w:pPr>
    </w:p>
    <w:p>
      <w:pPr>
        <w:pStyle w:val="2"/>
        <w:rPr>
          <w:rFonts w:hint="eastAsia" w:ascii="黑体" w:eastAsia="黑体"/>
          <w:sz w:val="32"/>
          <w:szCs w:val="32"/>
        </w:rPr>
      </w:pPr>
    </w:p>
    <w:p>
      <w:pPr>
        <w:pStyle w:val="2"/>
        <w:rPr>
          <w:rFonts w:hint="eastAsia" w:ascii="黑体" w:eastAsia="黑体"/>
          <w:sz w:val="32"/>
          <w:szCs w:val="32"/>
        </w:rPr>
      </w:pPr>
    </w:p>
    <w:p>
      <w:pPr>
        <w:pStyle w:val="2"/>
        <w:rPr>
          <w:rFonts w:hint="eastAsia" w:ascii="黑体" w:eastAsia="黑体"/>
          <w:sz w:val="32"/>
          <w:szCs w:val="32"/>
        </w:rPr>
      </w:pPr>
    </w:p>
    <w:p>
      <w:pPr>
        <w:pStyle w:val="2"/>
        <w:rPr>
          <w:rFonts w:hint="eastAsia" w:ascii="黑体" w:eastAsia="黑体"/>
          <w:sz w:val="32"/>
          <w:szCs w:val="32"/>
        </w:rPr>
      </w:pPr>
    </w:p>
    <w:p>
      <w:pPr>
        <w:pStyle w:val="2"/>
        <w:rPr>
          <w:rFonts w:hint="eastAsia" w:ascii="黑体" w:eastAsia="黑体"/>
          <w:sz w:val="32"/>
          <w:szCs w:val="32"/>
        </w:rPr>
      </w:pPr>
    </w:p>
    <w:p>
      <w:pPr>
        <w:pStyle w:val="2"/>
        <w:rPr>
          <w:rFonts w:hint="eastAsia" w:ascii="黑体" w:eastAsia="黑体"/>
          <w:sz w:val="32"/>
          <w:szCs w:val="32"/>
        </w:rPr>
      </w:pPr>
    </w:p>
    <w:p>
      <w:pPr>
        <w:pStyle w:val="2"/>
        <w:rPr>
          <w:rFonts w:hint="eastAsia" w:ascii="黑体" w:eastAsia="黑体"/>
          <w:sz w:val="32"/>
          <w:szCs w:val="32"/>
        </w:rPr>
      </w:pPr>
    </w:p>
    <w:p>
      <w:pPr>
        <w:pStyle w:val="2"/>
        <w:rPr>
          <w:rFonts w:hint="eastAsia" w:ascii="黑体" w:eastAsia="黑体"/>
          <w:sz w:val="32"/>
          <w:szCs w:val="32"/>
        </w:rPr>
      </w:pPr>
    </w:p>
    <w:p>
      <w:pPr>
        <w:pStyle w:val="2"/>
        <w:rPr>
          <w:rFonts w:hint="eastAsia" w:ascii="黑体" w:eastAsia="黑体"/>
          <w:sz w:val="32"/>
          <w:szCs w:val="32"/>
        </w:rPr>
      </w:pPr>
    </w:p>
    <w:p>
      <w:pPr>
        <w:pStyle w:val="2"/>
        <w:rPr>
          <w:rFonts w:hint="eastAsia" w:ascii="黑体" w:eastAsia="黑体"/>
          <w:sz w:val="32"/>
          <w:szCs w:val="32"/>
        </w:rPr>
      </w:pPr>
    </w:p>
    <w:p>
      <w:pPr>
        <w:pStyle w:val="2"/>
        <w:rPr>
          <w:rFonts w:hint="eastAsia" w:ascii="黑体" w:eastAsia="黑体"/>
          <w:sz w:val="32"/>
          <w:szCs w:val="32"/>
        </w:rPr>
      </w:pPr>
    </w:p>
    <w:p>
      <w:pPr>
        <w:pStyle w:val="2"/>
        <w:rPr>
          <w:rFonts w:hint="eastAsia" w:ascii="黑体" w:eastAsia="黑体"/>
          <w:sz w:val="32"/>
          <w:szCs w:val="32"/>
        </w:rPr>
      </w:pPr>
    </w:p>
    <w:p>
      <w:pPr>
        <w:pStyle w:val="2"/>
        <w:rPr>
          <w:rFonts w:hint="eastAsia" w:ascii="黑体" w:eastAsia="黑体"/>
          <w:sz w:val="32"/>
          <w:szCs w:val="32"/>
        </w:rPr>
      </w:pPr>
    </w:p>
    <w:p>
      <w:pPr>
        <w:pStyle w:val="2"/>
        <w:rPr>
          <w:rFonts w:hint="eastAsia" w:ascii="黑体" w:eastAsia="黑体"/>
          <w:sz w:val="32"/>
          <w:szCs w:val="32"/>
        </w:rPr>
        <w:sectPr>
          <w:footerReference r:id="rId3" w:type="default"/>
          <w:pgSz w:w="11907" w:h="16840"/>
          <w:pgMar w:top="1417" w:right="1417" w:bottom="1417" w:left="1644" w:header="851" w:footer="907" w:gutter="0"/>
          <w:pgNumType w:fmt="numberInDash"/>
          <w:cols w:space="0" w:num="1"/>
          <w:rtlGutter w:val="0"/>
          <w:docGrid w:type="lines" w:linePitch="436" w:charSpace="0"/>
        </w:sectPr>
      </w:pPr>
    </w:p>
    <w:p>
      <w:pPr>
        <w:adjustRightInd w:val="0"/>
        <w:snapToGrid w:val="0"/>
        <w:spacing w:line="300" w:lineRule="auto"/>
        <w:jc w:val="both"/>
        <w:rPr>
          <w:rFonts w:ascii="黑体" w:eastAsia="黑体"/>
          <w:sz w:val="32"/>
          <w:szCs w:val="32"/>
        </w:rPr>
      </w:pPr>
      <w:r>
        <w:rPr>
          <w:rFonts w:hint="eastAsia" w:ascii="黑体" w:eastAsia="黑体"/>
          <w:sz w:val="32"/>
          <w:szCs w:val="32"/>
        </w:rPr>
        <w:t>附件1</w:t>
      </w:r>
    </w:p>
    <w:tbl>
      <w:tblPr>
        <w:tblStyle w:val="9"/>
        <w:tblW w:w="9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9"/>
        <w:gridCol w:w="725"/>
        <w:gridCol w:w="1081"/>
        <w:gridCol w:w="1019"/>
        <w:gridCol w:w="1012"/>
        <w:gridCol w:w="1038"/>
        <w:gridCol w:w="968"/>
        <w:gridCol w:w="1007"/>
        <w:gridCol w:w="1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480" w:type="dxa"/>
            <w:gridSpan w:val="9"/>
            <w:tcBorders>
              <w:top w:val="nil"/>
              <w:left w:val="nil"/>
              <w:bottom w:val="nil"/>
              <w:right w:val="nil"/>
            </w:tcBorders>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44"/>
                <w:szCs w:val="44"/>
                <w:u w:val="none"/>
              </w:rPr>
            </w:pP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rPr>
              <w:t>安溪县</w:t>
            </w:r>
            <w:r>
              <w:rPr>
                <w:rFonts w:hint="eastAsia" w:ascii="方正小标宋简体" w:hAnsi="方正小标宋简体" w:eastAsia="方正小标宋简体" w:cs="方正小标宋简体"/>
                <w:b w:val="0"/>
                <w:bCs w:val="0"/>
                <w:sz w:val="36"/>
                <w:szCs w:val="36"/>
              </w:rPr>
              <w:t>农村生活污水提升治理2021—2025年度任务分解表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乡镇</w:t>
            </w:r>
          </w:p>
        </w:tc>
        <w:tc>
          <w:tcPr>
            <w:tcW w:w="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rPr>
              <w:t>行政</w:t>
            </w:r>
            <w:r>
              <w:rPr>
                <w:rFonts w:hint="eastAsia" w:ascii="宋体" w:hAnsi="宋体" w:eastAsia="宋体" w:cs="宋体"/>
                <w:b/>
                <w:bCs/>
                <w:i w:val="0"/>
                <w:iCs w:val="0"/>
                <w:color w:val="000000"/>
                <w:kern w:val="0"/>
                <w:sz w:val="24"/>
                <w:szCs w:val="24"/>
                <w:u w:val="none"/>
                <w:lang w:val="en-US" w:eastAsia="zh-CN"/>
              </w:rPr>
              <w:t>村数</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b/>
                <w:bCs/>
                <w:i w:val="0"/>
                <w:iCs w:val="0"/>
                <w:color w:val="000000"/>
                <w:kern w:val="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rPr>
              <w:t>2021-</w:t>
            </w:r>
          </w:p>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2025年</w:t>
            </w: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2021年</w:t>
            </w: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2022年</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2023年</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2024年</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2025年</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b/>
                <w:bCs/>
                <w:sz w:val="24"/>
                <w:szCs w:val="24"/>
              </w:rPr>
            </w:pPr>
            <w:r>
              <w:rPr>
                <w:rFonts w:hint="eastAsia" w:ascii="宋体" w:hAnsi="宋体" w:eastAsia="宋体" w:cs="宋体"/>
                <w:b/>
                <w:bCs/>
                <w:sz w:val="24"/>
                <w:szCs w:val="24"/>
              </w:rPr>
              <w:t>“十四五”末</w:t>
            </w:r>
          </w:p>
          <w:p>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sz w:val="24"/>
                <w:szCs w:val="24"/>
              </w:rPr>
              <w:t>治理率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凤城镇</w:t>
            </w:r>
          </w:p>
        </w:tc>
        <w:tc>
          <w:tcPr>
            <w:tcW w:w="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3</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2</w:t>
            </w: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kern w:val="2"/>
                <w:sz w:val="24"/>
                <w:szCs w:val="24"/>
                <w:u w:val="none"/>
                <w:lang w:val="en-US" w:eastAsia="zh-CN" w:bidi="ar-SA"/>
              </w:rPr>
            </w:pP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kern w:val="2"/>
                <w:sz w:val="24"/>
                <w:szCs w:val="24"/>
                <w:u w:val="none"/>
                <w:lang w:val="en-US" w:eastAsia="zh-CN" w:bidi="ar-SA"/>
              </w:rPr>
            </w:pP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0</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66.</w:t>
            </w:r>
            <w:r>
              <w:rPr>
                <w:rFonts w:hint="eastAsia" w:ascii="宋体" w:hAnsi="宋体" w:cs="宋体"/>
                <w:i w:val="0"/>
                <w:iCs w:val="0"/>
                <w:color w:val="000000"/>
                <w:kern w:val="0"/>
                <w:sz w:val="24"/>
                <w:szCs w:val="24"/>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城厢镇</w:t>
            </w:r>
          </w:p>
        </w:tc>
        <w:tc>
          <w:tcPr>
            <w:tcW w:w="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25</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16</w:t>
            </w: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w:t>
            </w: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kern w:val="2"/>
                <w:sz w:val="24"/>
                <w:szCs w:val="24"/>
                <w:u w:val="none"/>
                <w:lang w:val="en-US" w:eastAsia="zh-CN" w:bidi="ar-SA"/>
              </w:rPr>
            </w:pP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5</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5</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5</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64</w:t>
            </w:r>
            <w:r>
              <w:rPr>
                <w:rFonts w:hint="eastAsia" w:ascii="宋体" w:hAnsi="宋体" w:cs="宋体"/>
                <w:i w:val="0"/>
                <w:iCs w:val="0"/>
                <w:color w:val="000000"/>
                <w:kern w:val="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参内</w:t>
            </w:r>
            <w:r>
              <w:rPr>
                <w:rFonts w:hint="eastAsia" w:ascii="宋体" w:hAnsi="宋体" w:cs="宋体"/>
                <w:i w:val="0"/>
                <w:iCs w:val="0"/>
                <w:color w:val="000000"/>
                <w:kern w:val="0"/>
                <w:sz w:val="24"/>
                <w:szCs w:val="24"/>
                <w:u w:val="none"/>
                <w:lang w:val="en-US" w:eastAsia="zh-CN"/>
              </w:rPr>
              <w:t>镇</w:t>
            </w:r>
          </w:p>
        </w:tc>
        <w:tc>
          <w:tcPr>
            <w:tcW w:w="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11</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w:t>
            </w: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81.8</w:t>
            </w:r>
            <w:r>
              <w:rPr>
                <w:rFonts w:hint="eastAsia" w:ascii="宋体" w:hAnsi="宋体" w:cs="宋体"/>
                <w:i w:val="0"/>
                <w:iCs w:val="0"/>
                <w:color w:val="000000"/>
                <w:kern w:val="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魁斗镇</w:t>
            </w:r>
          </w:p>
        </w:tc>
        <w:tc>
          <w:tcPr>
            <w:tcW w:w="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12</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10</w:t>
            </w: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kern w:val="2"/>
                <w:sz w:val="24"/>
                <w:szCs w:val="24"/>
                <w:u w:val="none"/>
                <w:lang w:val="en-US" w:eastAsia="zh-CN" w:bidi="ar-SA"/>
              </w:rPr>
            </w:pP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6</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2</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83.3</w:t>
            </w:r>
            <w:r>
              <w:rPr>
                <w:rFonts w:hint="eastAsia" w:ascii="宋体" w:hAnsi="宋体" w:cs="宋体"/>
                <w:i w:val="0"/>
                <w:iCs w:val="0"/>
                <w:color w:val="000000"/>
                <w:kern w:val="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蓬莱镇</w:t>
            </w:r>
          </w:p>
        </w:tc>
        <w:tc>
          <w:tcPr>
            <w:tcW w:w="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30</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24</w:t>
            </w: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w:t>
            </w: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7</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6</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5</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5</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80</w:t>
            </w:r>
            <w:r>
              <w:rPr>
                <w:rFonts w:hint="eastAsia" w:ascii="宋体" w:hAnsi="宋体" w:cs="宋体"/>
                <w:i w:val="0"/>
                <w:iCs w:val="0"/>
                <w:color w:val="000000"/>
                <w:kern w:val="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金谷镇</w:t>
            </w:r>
          </w:p>
        </w:tc>
        <w:tc>
          <w:tcPr>
            <w:tcW w:w="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24</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20</w:t>
            </w: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w:t>
            </w: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5</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5</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5</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4</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83.3</w:t>
            </w:r>
            <w:r>
              <w:rPr>
                <w:rFonts w:hint="eastAsia" w:ascii="宋体" w:hAnsi="宋体" w:cs="宋体"/>
                <w:i w:val="0"/>
                <w:iCs w:val="0"/>
                <w:color w:val="000000"/>
                <w:kern w:val="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湖头镇</w:t>
            </w:r>
          </w:p>
        </w:tc>
        <w:tc>
          <w:tcPr>
            <w:tcW w:w="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29</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21</w:t>
            </w: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w:t>
            </w: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kern w:val="2"/>
                <w:sz w:val="24"/>
                <w:szCs w:val="24"/>
                <w:u w:val="none"/>
                <w:lang w:val="en-US" w:eastAsia="zh-CN" w:bidi="ar-SA"/>
              </w:rPr>
            </w:pP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7</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7</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6</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72.4</w:t>
            </w:r>
            <w:r>
              <w:rPr>
                <w:rFonts w:hint="eastAsia" w:ascii="宋体" w:hAnsi="宋体" w:cs="宋体"/>
                <w:i w:val="0"/>
                <w:iCs w:val="0"/>
                <w:color w:val="000000"/>
                <w:kern w:val="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白濑乡</w:t>
            </w:r>
          </w:p>
        </w:tc>
        <w:tc>
          <w:tcPr>
            <w:tcW w:w="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5</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5</w:t>
            </w: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w:t>
            </w: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2</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kern w:val="2"/>
                <w:sz w:val="24"/>
                <w:szCs w:val="24"/>
                <w:u w:val="none"/>
                <w:lang w:val="en-US" w:eastAsia="zh-CN" w:bidi="ar-SA"/>
              </w:rPr>
            </w:pP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100</w:t>
            </w:r>
            <w:r>
              <w:rPr>
                <w:rFonts w:hint="eastAsia" w:ascii="宋体" w:hAnsi="宋体" w:cs="宋体"/>
                <w:i w:val="0"/>
                <w:iCs w:val="0"/>
                <w:color w:val="000000"/>
                <w:kern w:val="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湖上乡</w:t>
            </w:r>
          </w:p>
        </w:tc>
        <w:tc>
          <w:tcPr>
            <w:tcW w:w="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13</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11</w:t>
            </w: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w:t>
            </w: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2</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3</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3</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2</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84.6</w:t>
            </w:r>
            <w:r>
              <w:rPr>
                <w:rFonts w:hint="eastAsia" w:ascii="宋体" w:hAnsi="宋体" w:cs="宋体"/>
                <w:i w:val="0"/>
                <w:iCs w:val="0"/>
                <w:color w:val="000000"/>
                <w:kern w:val="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剑斗镇</w:t>
            </w:r>
          </w:p>
        </w:tc>
        <w:tc>
          <w:tcPr>
            <w:tcW w:w="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14</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rPr>
              <w:t>6</w:t>
            </w: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w:t>
            </w: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kern w:val="2"/>
                <w:sz w:val="24"/>
                <w:szCs w:val="24"/>
                <w:u w:val="none"/>
                <w:lang w:val="en-US" w:eastAsia="zh-CN" w:bidi="ar-SA"/>
              </w:rPr>
            </w:pP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rPr>
              <w:t>2</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rPr>
              <w:t>3</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rPr>
              <w:t>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感德镇</w:t>
            </w:r>
          </w:p>
        </w:tc>
        <w:tc>
          <w:tcPr>
            <w:tcW w:w="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22</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18</w:t>
            </w: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w:t>
            </w: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kern w:val="2"/>
                <w:sz w:val="24"/>
                <w:szCs w:val="24"/>
                <w:u w:val="none"/>
                <w:lang w:val="en-US" w:eastAsia="zh-CN" w:bidi="ar-SA"/>
              </w:rPr>
            </w:pP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6</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6</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5</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81.8</w:t>
            </w:r>
            <w:r>
              <w:rPr>
                <w:rFonts w:hint="eastAsia" w:ascii="宋体" w:hAnsi="宋体" w:cs="宋体"/>
                <w:i w:val="0"/>
                <w:iCs w:val="0"/>
                <w:color w:val="000000"/>
                <w:kern w:val="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桃舟乡</w:t>
            </w:r>
          </w:p>
        </w:tc>
        <w:tc>
          <w:tcPr>
            <w:tcW w:w="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8</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6</w:t>
            </w: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w:t>
            </w: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kern w:val="2"/>
                <w:sz w:val="24"/>
                <w:szCs w:val="24"/>
                <w:u w:val="none"/>
                <w:lang w:val="en-US" w:eastAsia="zh-CN" w:bidi="ar-SA"/>
              </w:rPr>
            </w:pP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2</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2</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75</w:t>
            </w:r>
            <w:r>
              <w:rPr>
                <w:rFonts w:hint="eastAsia" w:ascii="宋体" w:hAnsi="宋体" w:cs="宋体"/>
                <w:i w:val="0"/>
                <w:iCs w:val="0"/>
                <w:color w:val="000000"/>
                <w:kern w:val="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福田乡</w:t>
            </w:r>
          </w:p>
        </w:tc>
        <w:tc>
          <w:tcPr>
            <w:tcW w:w="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6</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5</w:t>
            </w: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w:t>
            </w: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kern w:val="2"/>
                <w:sz w:val="24"/>
                <w:szCs w:val="24"/>
                <w:u w:val="none"/>
                <w:lang w:val="en-US" w:eastAsia="zh-CN" w:bidi="ar-SA"/>
              </w:rPr>
            </w:pP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2</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83.3</w:t>
            </w:r>
            <w:r>
              <w:rPr>
                <w:rFonts w:hint="eastAsia" w:ascii="宋体" w:hAnsi="宋体" w:cs="宋体"/>
                <w:i w:val="0"/>
                <w:iCs w:val="0"/>
                <w:color w:val="000000"/>
                <w:kern w:val="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rPr>
              <w:t>长卿镇</w:t>
            </w:r>
          </w:p>
        </w:tc>
        <w:tc>
          <w:tcPr>
            <w:tcW w:w="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26</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18</w:t>
            </w: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w:t>
            </w: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kern w:val="2"/>
                <w:sz w:val="24"/>
                <w:szCs w:val="24"/>
                <w:u w:val="none"/>
                <w:lang w:val="en-US" w:eastAsia="zh-CN" w:bidi="ar-SA"/>
              </w:rPr>
            </w:pP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6</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6</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5</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69.2</w:t>
            </w:r>
            <w:r>
              <w:rPr>
                <w:rFonts w:hint="eastAsia" w:ascii="宋体" w:hAnsi="宋体" w:cs="宋体"/>
                <w:i w:val="0"/>
                <w:iCs w:val="0"/>
                <w:color w:val="000000"/>
                <w:kern w:val="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蓝田乡</w:t>
            </w:r>
          </w:p>
        </w:tc>
        <w:tc>
          <w:tcPr>
            <w:tcW w:w="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15</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12</w:t>
            </w: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w:t>
            </w: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kern w:val="2"/>
                <w:sz w:val="24"/>
                <w:szCs w:val="24"/>
                <w:u w:val="none"/>
                <w:lang w:val="en-US" w:eastAsia="zh-CN" w:bidi="ar-SA"/>
              </w:rPr>
            </w:pP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4</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4</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3</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80</w:t>
            </w:r>
            <w:r>
              <w:rPr>
                <w:rFonts w:hint="eastAsia" w:ascii="宋体" w:hAnsi="宋体" w:cs="宋体"/>
                <w:i w:val="0"/>
                <w:iCs w:val="0"/>
                <w:color w:val="000000"/>
                <w:kern w:val="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祥华乡</w:t>
            </w:r>
          </w:p>
        </w:tc>
        <w:tc>
          <w:tcPr>
            <w:tcW w:w="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20</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15</w:t>
            </w: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w:t>
            </w: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kern w:val="2"/>
                <w:sz w:val="24"/>
                <w:szCs w:val="24"/>
                <w:u w:val="none"/>
                <w:lang w:val="en-US" w:eastAsia="zh-CN" w:bidi="ar-SA"/>
              </w:rPr>
            </w:pP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5</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5</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4</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75</w:t>
            </w:r>
            <w:r>
              <w:rPr>
                <w:rFonts w:hint="eastAsia" w:ascii="宋体" w:hAnsi="宋体" w:cs="宋体"/>
                <w:i w:val="0"/>
                <w:iCs w:val="0"/>
                <w:color w:val="000000"/>
                <w:kern w:val="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西坪镇</w:t>
            </w:r>
          </w:p>
        </w:tc>
        <w:tc>
          <w:tcPr>
            <w:tcW w:w="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26</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18</w:t>
            </w: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w:t>
            </w: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kern w:val="2"/>
                <w:sz w:val="24"/>
                <w:szCs w:val="24"/>
                <w:u w:val="none"/>
                <w:lang w:val="en-US" w:eastAsia="zh-CN" w:bidi="ar-SA"/>
              </w:rPr>
            </w:pP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6</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6</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5</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69.2</w:t>
            </w:r>
            <w:r>
              <w:rPr>
                <w:rFonts w:hint="eastAsia" w:ascii="宋体" w:hAnsi="宋体" w:cs="宋体"/>
                <w:i w:val="0"/>
                <w:iCs w:val="0"/>
                <w:color w:val="000000"/>
                <w:kern w:val="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大坪乡</w:t>
            </w:r>
          </w:p>
        </w:tc>
        <w:tc>
          <w:tcPr>
            <w:tcW w:w="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7</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5</w:t>
            </w: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w:t>
            </w: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kern w:val="2"/>
                <w:sz w:val="24"/>
                <w:szCs w:val="24"/>
                <w:u w:val="none"/>
                <w:lang w:val="en-US" w:eastAsia="zh-CN" w:bidi="ar-SA"/>
              </w:rPr>
            </w:pP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2</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71.4</w:t>
            </w:r>
            <w:r>
              <w:rPr>
                <w:rFonts w:hint="eastAsia" w:ascii="宋体" w:hAnsi="宋体" w:cs="宋体"/>
                <w:i w:val="0"/>
                <w:iCs w:val="0"/>
                <w:color w:val="000000"/>
                <w:kern w:val="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尚卿乡</w:t>
            </w:r>
          </w:p>
        </w:tc>
        <w:tc>
          <w:tcPr>
            <w:tcW w:w="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18</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14</w:t>
            </w: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w:t>
            </w: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2</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4</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3</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4</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77.</w:t>
            </w:r>
            <w:r>
              <w:rPr>
                <w:rFonts w:hint="eastAsia" w:ascii="宋体" w:hAnsi="宋体" w:cs="宋体"/>
                <w:i w:val="0"/>
                <w:iCs w:val="0"/>
                <w:color w:val="000000"/>
                <w:kern w:val="0"/>
                <w:sz w:val="24"/>
                <w:szCs w:val="24"/>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芦田镇</w:t>
            </w:r>
          </w:p>
        </w:tc>
        <w:tc>
          <w:tcPr>
            <w:tcW w:w="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10</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8</w:t>
            </w: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w:t>
            </w: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2</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2</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2</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80</w:t>
            </w:r>
            <w:r>
              <w:rPr>
                <w:rFonts w:hint="eastAsia" w:ascii="宋体" w:hAnsi="宋体" w:cs="宋体"/>
                <w:i w:val="0"/>
                <w:iCs w:val="0"/>
                <w:color w:val="000000"/>
                <w:kern w:val="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龙涓乡</w:t>
            </w:r>
          </w:p>
        </w:tc>
        <w:tc>
          <w:tcPr>
            <w:tcW w:w="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36</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24</w:t>
            </w: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w:t>
            </w: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kern w:val="2"/>
                <w:sz w:val="24"/>
                <w:szCs w:val="24"/>
                <w:u w:val="none"/>
                <w:lang w:val="en-US" w:eastAsia="zh-CN" w:bidi="ar-SA"/>
              </w:rPr>
            </w:pP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8</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8</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7</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66.</w:t>
            </w:r>
            <w:r>
              <w:rPr>
                <w:rFonts w:hint="eastAsia" w:ascii="宋体" w:hAnsi="宋体" w:cs="宋体"/>
                <w:i w:val="0"/>
                <w:iCs w:val="0"/>
                <w:color w:val="000000"/>
                <w:kern w:val="0"/>
                <w:sz w:val="24"/>
                <w:szCs w:val="24"/>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虎邱镇</w:t>
            </w:r>
          </w:p>
        </w:tc>
        <w:tc>
          <w:tcPr>
            <w:tcW w:w="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18</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15</w:t>
            </w: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w:t>
            </w: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5</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3</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3</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3</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83.3</w:t>
            </w:r>
            <w:r>
              <w:rPr>
                <w:rFonts w:hint="eastAsia" w:ascii="宋体" w:hAnsi="宋体" w:cs="宋体"/>
                <w:i w:val="0"/>
                <w:iCs w:val="0"/>
                <w:color w:val="000000"/>
                <w:kern w:val="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官桥镇</w:t>
            </w:r>
          </w:p>
        </w:tc>
        <w:tc>
          <w:tcPr>
            <w:tcW w:w="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29</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19</w:t>
            </w: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w:t>
            </w: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kern w:val="2"/>
                <w:sz w:val="24"/>
                <w:szCs w:val="24"/>
                <w:u w:val="none"/>
                <w:lang w:val="en-US" w:eastAsia="zh-CN" w:bidi="ar-SA"/>
              </w:rPr>
            </w:pP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6</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6</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6</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65.5</w:t>
            </w:r>
            <w:r>
              <w:rPr>
                <w:rFonts w:hint="eastAsia" w:ascii="宋体" w:hAnsi="宋体" w:cs="宋体"/>
                <w:i w:val="0"/>
                <w:iCs w:val="0"/>
                <w:color w:val="000000"/>
                <w:kern w:val="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龙门镇</w:t>
            </w:r>
          </w:p>
        </w:tc>
        <w:tc>
          <w:tcPr>
            <w:tcW w:w="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31</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21</w:t>
            </w: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w:t>
            </w: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kern w:val="2"/>
                <w:sz w:val="24"/>
                <w:szCs w:val="24"/>
                <w:u w:val="none"/>
                <w:lang w:val="en-US" w:eastAsia="zh-CN" w:bidi="ar-SA"/>
              </w:rPr>
            </w:pP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7</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7</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6</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67.7</w:t>
            </w:r>
            <w:r>
              <w:rPr>
                <w:rFonts w:hint="eastAsia" w:ascii="宋体" w:hAnsi="宋体" w:cs="宋体"/>
                <w:i w:val="0"/>
                <w:iCs w:val="0"/>
                <w:color w:val="000000"/>
                <w:kern w:val="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合计</w:t>
            </w:r>
          </w:p>
        </w:tc>
        <w:tc>
          <w:tcPr>
            <w:tcW w:w="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438</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322</w:t>
            </w: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22</w:t>
            </w: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30</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98</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94</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80</w:t>
            </w:r>
          </w:p>
        </w:tc>
        <w:tc>
          <w:tcPr>
            <w:tcW w:w="1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73.5%</w:t>
            </w:r>
          </w:p>
        </w:tc>
      </w:tr>
    </w:tbl>
    <w:p>
      <w:pPr>
        <w:pStyle w:val="2"/>
        <w:jc w:val="both"/>
        <w:rPr>
          <w:rFonts w:hint="eastAsia" w:ascii="仿宋_GB2312" w:eastAsia="仿宋_GB2312"/>
          <w:sz w:val="24"/>
        </w:rPr>
        <w:sectPr>
          <w:pgSz w:w="11905" w:h="16838"/>
          <w:pgMar w:top="1417" w:right="1417" w:bottom="1417" w:left="1644" w:header="850" w:footer="907" w:gutter="0"/>
          <w:pgNumType w:fmt="numberInDash"/>
          <w:cols w:space="0" w:num="1"/>
          <w:rtlGutter w:val="0"/>
          <w:docGrid w:type="lines" w:linePitch="438" w:charSpace="0"/>
        </w:sectPr>
      </w:pPr>
    </w:p>
    <w:p>
      <w:pPr>
        <w:adjustRightInd w:val="0"/>
        <w:snapToGrid w:val="0"/>
        <w:spacing w:line="300" w:lineRule="auto"/>
        <w:jc w:val="both"/>
        <w:rPr>
          <w:rFonts w:hint="eastAsia" w:ascii="黑体" w:eastAsia="黑体"/>
          <w:sz w:val="32"/>
          <w:szCs w:val="32"/>
          <w:lang w:eastAsia="zh-CN"/>
        </w:rPr>
      </w:pPr>
      <w:r>
        <w:rPr>
          <w:rFonts w:hint="eastAsia" w:ascii="黑体" w:eastAsia="黑体"/>
          <w:sz w:val="32"/>
          <w:szCs w:val="32"/>
        </w:rPr>
        <w:t>附件</w:t>
      </w:r>
      <w:r>
        <w:rPr>
          <w:rFonts w:hint="eastAsia" w:ascii="黑体" w:eastAsia="黑体"/>
          <w:sz w:val="32"/>
          <w:szCs w:val="32"/>
          <w:lang w:val="en-US" w:eastAsia="zh-CN"/>
        </w:rPr>
        <w:t>2</w:t>
      </w:r>
    </w:p>
    <w:p>
      <w:pPr>
        <w:adjustRightInd w:val="0"/>
        <w:snapToGrid w:val="0"/>
        <w:spacing w:line="30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安溪县</w:t>
      </w:r>
      <w:r>
        <w:rPr>
          <w:rFonts w:hint="eastAsia" w:ascii="方正小标宋简体" w:hAnsi="方正小标宋简体" w:eastAsia="方正小标宋简体" w:cs="方正小标宋简体"/>
          <w:sz w:val="44"/>
          <w:szCs w:val="44"/>
        </w:rPr>
        <w:t>农村生活污水提升治理重点任务细化分解表</w:t>
      </w:r>
    </w:p>
    <w:tbl>
      <w:tblPr>
        <w:tblStyle w:val="9"/>
        <w:tblW w:w="139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66"/>
        <w:gridCol w:w="9561"/>
        <w:gridCol w:w="28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8" w:hRule="atLeast"/>
          <w:tblHeader/>
          <w:jc w:val="center"/>
        </w:trPr>
        <w:tc>
          <w:tcPr>
            <w:tcW w:w="1566" w:type="dxa"/>
            <w:vAlign w:val="center"/>
          </w:tcPr>
          <w:p>
            <w:pPr>
              <w:keepNext w:val="0"/>
              <w:keepLines w:val="0"/>
              <w:pageBreakBefore w:val="0"/>
              <w:widowControl w:val="0"/>
              <w:kinsoku/>
              <w:wordWrap/>
              <w:overflowPunct/>
              <w:autoSpaceDN/>
              <w:bidi w:val="0"/>
              <w:adjustRightInd w:val="0"/>
              <w:snapToGrid w:val="0"/>
              <w:spacing w:line="300" w:lineRule="exact"/>
              <w:ind w:right="0" w:rightChars="0" w:firstLine="0" w:firstLineChars="0"/>
              <w:jc w:val="center"/>
              <w:textAlignment w:val="auto"/>
              <w:outlineLvl w:val="9"/>
              <w:rPr>
                <w:rFonts w:ascii="楷体_GB2312" w:eastAsia="楷体_GB2312" w:cs="楷体_GB2312"/>
                <w:b/>
                <w:sz w:val="24"/>
              </w:rPr>
            </w:pPr>
            <w:r>
              <w:rPr>
                <w:rFonts w:hint="eastAsia" w:ascii="黑体" w:eastAsia="黑体"/>
                <w:b/>
                <w:sz w:val="24"/>
              </w:rPr>
              <w:t>主要任务</w:t>
            </w:r>
          </w:p>
        </w:tc>
        <w:tc>
          <w:tcPr>
            <w:tcW w:w="9561" w:type="dxa"/>
            <w:vAlign w:val="center"/>
          </w:tcPr>
          <w:p>
            <w:pPr>
              <w:keepNext w:val="0"/>
              <w:keepLines w:val="0"/>
              <w:pageBreakBefore w:val="0"/>
              <w:widowControl w:val="0"/>
              <w:kinsoku/>
              <w:wordWrap/>
              <w:overflowPunct/>
              <w:autoSpaceDN/>
              <w:bidi w:val="0"/>
              <w:adjustRightInd w:val="0"/>
              <w:snapToGrid w:val="0"/>
              <w:spacing w:line="300" w:lineRule="exact"/>
              <w:ind w:right="0" w:rightChars="0" w:firstLine="0" w:firstLineChars="0"/>
              <w:jc w:val="center"/>
              <w:textAlignment w:val="auto"/>
              <w:outlineLvl w:val="9"/>
              <w:rPr>
                <w:rFonts w:ascii="黑体" w:eastAsia="黑体"/>
                <w:b/>
                <w:sz w:val="24"/>
              </w:rPr>
            </w:pPr>
            <w:r>
              <w:rPr>
                <w:rFonts w:hint="eastAsia" w:ascii="黑体" w:eastAsia="黑体"/>
                <w:b/>
                <w:sz w:val="24"/>
              </w:rPr>
              <w:t>具体要求</w:t>
            </w:r>
          </w:p>
        </w:tc>
        <w:tc>
          <w:tcPr>
            <w:tcW w:w="2809" w:type="dxa"/>
            <w:vAlign w:val="center"/>
          </w:tcPr>
          <w:p>
            <w:pPr>
              <w:keepNext w:val="0"/>
              <w:keepLines w:val="0"/>
              <w:pageBreakBefore w:val="0"/>
              <w:widowControl w:val="0"/>
              <w:kinsoku/>
              <w:wordWrap/>
              <w:overflowPunct/>
              <w:autoSpaceDN/>
              <w:bidi w:val="0"/>
              <w:adjustRightInd w:val="0"/>
              <w:snapToGrid w:val="0"/>
              <w:spacing w:line="300" w:lineRule="exact"/>
              <w:ind w:right="0" w:rightChars="0" w:firstLine="0" w:firstLineChars="0"/>
              <w:jc w:val="center"/>
              <w:textAlignment w:val="auto"/>
              <w:outlineLvl w:val="9"/>
              <w:rPr>
                <w:rFonts w:ascii="黑体" w:eastAsia="黑体"/>
                <w:b/>
                <w:sz w:val="24"/>
              </w:rPr>
            </w:pPr>
            <w:r>
              <w:rPr>
                <w:rFonts w:hint="eastAsia" w:ascii="黑体" w:eastAsia="黑体"/>
                <w:b/>
                <w:sz w:val="24"/>
              </w:rPr>
              <w:t>指导单位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66" w:type="dxa"/>
            <w:vMerge w:val="restart"/>
            <w:vAlign w:val="center"/>
          </w:tcPr>
          <w:p>
            <w:pPr>
              <w:keepNext w:val="0"/>
              <w:keepLines w:val="0"/>
              <w:pageBreakBefore w:val="0"/>
              <w:widowControl w:val="0"/>
              <w:kinsoku/>
              <w:wordWrap/>
              <w:overflowPunct/>
              <w:autoSpaceDN/>
              <w:bidi w:val="0"/>
              <w:adjustRightInd w:val="0"/>
              <w:snapToGrid w:val="0"/>
              <w:spacing w:line="300" w:lineRule="exact"/>
              <w:ind w:right="0" w:rightChars="0" w:firstLine="0" w:firstLineChars="0"/>
              <w:jc w:val="both"/>
              <w:textAlignment w:val="auto"/>
              <w:outlineLvl w:val="9"/>
              <w:rPr>
                <w:rFonts w:hint="eastAsia" w:ascii="楷体_GB2312" w:eastAsia="楷体_GB2312" w:cs="楷体_GB2312"/>
                <w:b/>
                <w:sz w:val="24"/>
              </w:rPr>
            </w:pPr>
            <w:r>
              <w:rPr>
                <w:rFonts w:hint="eastAsia" w:ascii="楷体_GB2312" w:eastAsia="楷体_GB2312" w:cs="楷体_GB2312"/>
                <w:b/>
                <w:sz w:val="24"/>
              </w:rPr>
              <w:t>（一）确定实施主体</w:t>
            </w:r>
          </w:p>
        </w:tc>
        <w:tc>
          <w:tcPr>
            <w:tcW w:w="9561" w:type="dxa"/>
            <w:vAlign w:val="center"/>
          </w:tcPr>
          <w:p>
            <w:pPr>
              <w:keepNext w:val="0"/>
              <w:keepLines w:val="0"/>
              <w:pageBreakBefore w:val="0"/>
              <w:widowControl w:val="0"/>
              <w:kinsoku/>
              <w:wordWrap/>
              <w:overflowPunct/>
              <w:autoSpaceDN/>
              <w:bidi w:val="0"/>
              <w:adjustRightInd w:val="0"/>
              <w:snapToGrid w:val="0"/>
              <w:spacing w:line="300" w:lineRule="exact"/>
              <w:ind w:left="19" w:leftChars="9" w:right="0" w:rightChars="0" w:firstLine="0" w:firstLineChars="0"/>
              <w:jc w:val="both"/>
              <w:textAlignment w:val="auto"/>
              <w:outlineLvl w:val="9"/>
              <w:rPr>
                <w:rFonts w:hint="eastAsia" w:ascii="仿宋_GB2312" w:eastAsia="仿宋_GB2312"/>
                <w:sz w:val="24"/>
              </w:rPr>
            </w:pPr>
            <w:r>
              <w:rPr>
                <w:rFonts w:hint="eastAsia" w:ascii="仿宋_GB2312" w:eastAsia="仿宋_GB2312"/>
                <w:sz w:val="24"/>
              </w:rPr>
              <w:t>1．确定实施主体。</w:t>
            </w:r>
            <w:r>
              <w:rPr>
                <w:rFonts w:hint="eastAsia" w:ascii="仿宋_GB2312" w:eastAsia="仿宋_GB2312"/>
                <w:sz w:val="24"/>
                <w:lang w:val="en-US" w:eastAsia="zh-CN"/>
              </w:rPr>
              <w:t>选取合适建管模式，</w:t>
            </w:r>
            <w:r>
              <w:rPr>
                <w:rFonts w:hint="eastAsia" w:ascii="仿宋_GB2312" w:eastAsia="仿宋_GB2312"/>
                <w:sz w:val="24"/>
              </w:rPr>
              <w:t>优选专业公司统一负责县域农村生活污水治理（含厂站及管网）项目“投、建、管、运”，县人民政府按规定授予特许经营权，实行专业化</w:t>
            </w:r>
            <w:r>
              <w:rPr>
                <w:rFonts w:hint="eastAsia" w:ascii="仿宋_GB2312" w:eastAsia="仿宋_GB2312"/>
                <w:sz w:val="24"/>
                <w:lang w:val="en-US" w:eastAsia="zh-CN"/>
              </w:rPr>
              <w:t>建设</w:t>
            </w:r>
            <w:r>
              <w:rPr>
                <w:rFonts w:hint="eastAsia" w:ascii="仿宋_GB2312" w:eastAsia="仿宋_GB2312"/>
                <w:sz w:val="24"/>
              </w:rPr>
              <w:t>企业化管理。</w:t>
            </w:r>
          </w:p>
        </w:tc>
        <w:tc>
          <w:tcPr>
            <w:tcW w:w="2809" w:type="dxa"/>
            <w:vAlign w:val="center"/>
          </w:tcPr>
          <w:p>
            <w:pPr>
              <w:keepNext w:val="0"/>
              <w:keepLines w:val="0"/>
              <w:pageBreakBefore w:val="0"/>
              <w:widowControl w:val="0"/>
              <w:kinsoku/>
              <w:wordWrap/>
              <w:overflowPunct/>
              <w:topLinePunct/>
              <w:autoSpaceDE w:val="0"/>
              <w:autoSpaceDN/>
              <w:bidi w:val="0"/>
              <w:adjustRightInd w:val="0"/>
              <w:snapToGrid w:val="0"/>
              <w:spacing w:line="300" w:lineRule="exact"/>
              <w:ind w:right="0" w:rightChars="0" w:firstLine="0" w:firstLineChars="0"/>
              <w:jc w:val="both"/>
              <w:textAlignment w:val="auto"/>
              <w:outlineLvl w:val="9"/>
              <w:rPr>
                <w:rFonts w:hint="eastAsia" w:ascii="仿宋_GB2312" w:eastAsia="仿宋_GB2312"/>
                <w:sz w:val="24"/>
              </w:rPr>
            </w:pPr>
            <w:r>
              <w:rPr>
                <w:rFonts w:hint="eastAsia" w:ascii="仿宋_GB2312" w:eastAsia="仿宋_GB2312"/>
                <w:sz w:val="24"/>
                <w:lang w:eastAsia="zh-CN"/>
              </w:rPr>
              <w:t>安溪</w:t>
            </w:r>
            <w:r>
              <w:rPr>
                <w:rFonts w:hint="eastAsia" w:ascii="仿宋_GB2312" w:eastAsia="仿宋_GB2312"/>
                <w:sz w:val="24"/>
              </w:rPr>
              <w:t>生态环境局、</w:t>
            </w:r>
            <w:r>
              <w:rPr>
                <w:rFonts w:hint="eastAsia" w:ascii="仿宋_GB2312" w:eastAsia="仿宋_GB2312"/>
                <w:sz w:val="24"/>
                <w:lang w:eastAsia="zh-CN"/>
              </w:rPr>
              <w:t>县财政局</w:t>
            </w:r>
            <w:r>
              <w:rPr>
                <w:rFonts w:hint="eastAsia" w:ascii="仿宋_GB2312" w:eastAsia="仿宋_GB2312"/>
                <w:sz w:val="24"/>
              </w:rPr>
              <w:t>、发改</w:t>
            </w:r>
            <w:r>
              <w:rPr>
                <w:rFonts w:hint="eastAsia" w:ascii="仿宋_GB2312" w:eastAsia="仿宋_GB2312"/>
                <w:sz w:val="24"/>
                <w:lang w:eastAsia="zh-CN"/>
              </w:rPr>
              <w:t>局</w:t>
            </w:r>
            <w:r>
              <w:rPr>
                <w:rFonts w:hint="eastAsia" w:ascii="仿宋_GB2312" w:eastAsia="仿宋_GB2312"/>
                <w:sz w:val="24"/>
              </w:rPr>
              <w:t>、城管局、水利局按职责分工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75" w:hRule="atLeast"/>
          <w:jc w:val="center"/>
        </w:trPr>
        <w:tc>
          <w:tcPr>
            <w:tcW w:w="1566" w:type="dxa"/>
            <w:vMerge w:val="continue"/>
            <w:vAlign w:val="center"/>
          </w:tcPr>
          <w:p>
            <w:pPr>
              <w:keepNext w:val="0"/>
              <w:keepLines w:val="0"/>
              <w:pageBreakBefore w:val="0"/>
              <w:widowControl w:val="0"/>
              <w:kinsoku/>
              <w:wordWrap/>
              <w:overflowPunct/>
              <w:autoSpaceDN/>
              <w:bidi w:val="0"/>
              <w:adjustRightInd w:val="0"/>
              <w:snapToGrid w:val="0"/>
              <w:spacing w:line="300" w:lineRule="exact"/>
              <w:ind w:right="0" w:rightChars="0" w:firstLine="0" w:firstLineChars="0"/>
              <w:jc w:val="both"/>
              <w:textAlignment w:val="auto"/>
              <w:outlineLvl w:val="9"/>
              <w:rPr>
                <w:rFonts w:hint="eastAsia" w:ascii="楷体_GB2312" w:eastAsia="楷体_GB2312" w:cs="楷体_GB2312"/>
                <w:b/>
                <w:sz w:val="24"/>
              </w:rPr>
            </w:pPr>
          </w:p>
        </w:tc>
        <w:tc>
          <w:tcPr>
            <w:tcW w:w="9561" w:type="dxa"/>
            <w:vAlign w:val="center"/>
          </w:tcPr>
          <w:p>
            <w:pPr>
              <w:keepNext w:val="0"/>
              <w:keepLines w:val="0"/>
              <w:pageBreakBefore w:val="0"/>
              <w:widowControl w:val="0"/>
              <w:kinsoku/>
              <w:wordWrap/>
              <w:overflowPunct/>
              <w:topLinePunct/>
              <w:autoSpaceDE w:val="0"/>
              <w:autoSpaceDN/>
              <w:bidi w:val="0"/>
              <w:adjustRightInd w:val="0"/>
              <w:snapToGrid w:val="0"/>
              <w:spacing w:line="300" w:lineRule="exact"/>
              <w:ind w:right="0" w:rightChars="0" w:firstLine="0" w:firstLineChars="0"/>
              <w:jc w:val="both"/>
              <w:textAlignment w:val="auto"/>
              <w:outlineLvl w:val="9"/>
              <w:rPr>
                <w:rFonts w:hint="eastAsia" w:ascii="仿宋_GB2312" w:eastAsia="仿宋_GB2312"/>
                <w:sz w:val="24"/>
              </w:rPr>
            </w:pPr>
            <w:r>
              <w:rPr>
                <w:rFonts w:hint="eastAsia" w:ascii="仿宋_GB2312" w:eastAsia="仿宋_GB2312"/>
                <w:sz w:val="24"/>
              </w:rPr>
              <w:t>2．推进资产整合。根据产权及经营权归属，依法依规、分类分步推进农村生活污水处理设施资产整合，逐步实现由同一公司负责。对产权及经营权属于集体或国有的，通过</w:t>
            </w:r>
            <w:r>
              <w:rPr>
                <w:rFonts w:hint="eastAsia" w:ascii="仿宋_GB2312" w:eastAsia="仿宋_GB2312"/>
                <w:sz w:val="24"/>
                <w:lang w:val="en-US" w:eastAsia="zh-CN"/>
              </w:rPr>
              <w:t>转让</w:t>
            </w:r>
            <w:r>
              <w:rPr>
                <w:rFonts w:hint="eastAsia" w:ascii="仿宋_GB2312" w:eastAsia="仿宋_GB2312"/>
                <w:sz w:val="24"/>
              </w:rPr>
              <w:t>、租赁、作价入股、委托代管、兼并收购等方式整合；对其他情形的，鼓励通过作价入股、兼并收购等方式进行资产回购，或待特许经营期限到期后实施整合。资产整合过程中要规范运作，防止国有资产流失。</w:t>
            </w:r>
          </w:p>
        </w:tc>
        <w:tc>
          <w:tcPr>
            <w:tcW w:w="2809" w:type="dxa"/>
            <w:vAlign w:val="center"/>
          </w:tcPr>
          <w:p>
            <w:pPr>
              <w:keepNext w:val="0"/>
              <w:keepLines w:val="0"/>
              <w:pageBreakBefore w:val="0"/>
              <w:widowControl w:val="0"/>
              <w:kinsoku/>
              <w:wordWrap/>
              <w:overflowPunct/>
              <w:topLinePunct/>
              <w:autoSpaceDE w:val="0"/>
              <w:autoSpaceDN/>
              <w:bidi w:val="0"/>
              <w:adjustRightInd w:val="0"/>
              <w:snapToGrid w:val="0"/>
              <w:spacing w:line="300" w:lineRule="exact"/>
              <w:ind w:right="0" w:rightChars="0" w:firstLine="0" w:firstLineChars="0"/>
              <w:jc w:val="both"/>
              <w:textAlignment w:val="auto"/>
              <w:outlineLvl w:val="9"/>
              <w:rPr>
                <w:rFonts w:hint="eastAsia" w:ascii="仿宋_GB2312" w:eastAsia="仿宋_GB2312"/>
                <w:sz w:val="24"/>
              </w:rPr>
            </w:pPr>
            <w:r>
              <w:rPr>
                <w:rFonts w:hint="eastAsia" w:ascii="仿宋_GB2312" w:eastAsia="仿宋_GB2312"/>
                <w:sz w:val="24"/>
                <w:lang w:eastAsia="zh-CN"/>
              </w:rPr>
              <w:t>县财政局</w:t>
            </w:r>
            <w:r>
              <w:rPr>
                <w:rFonts w:hint="eastAsia" w:ascii="仿宋_GB2312" w:eastAsia="仿宋_GB2312"/>
                <w:sz w:val="24"/>
              </w:rPr>
              <w:t>、</w:t>
            </w:r>
            <w:r>
              <w:rPr>
                <w:rFonts w:hint="eastAsia" w:ascii="仿宋_GB2312" w:eastAsia="仿宋_GB2312"/>
                <w:sz w:val="24"/>
                <w:lang w:eastAsia="zh-CN"/>
              </w:rPr>
              <w:t>安溪</w:t>
            </w:r>
            <w:r>
              <w:rPr>
                <w:rFonts w:hint="eastAsia" w:ascii="仿宋_GB2312" w:eastAsia="仿宋_GB2312"/>
                <w:sz w:val="24"/>
              </w:rPr>
              <w:t>生态环境局、城管局、水利局按职责分工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64" w:hRule="atLeast"/>
          <w:jc w:val="center"/>
        </w:trPr>
        <w:tc>
          <w:tcPr>
            <w:tcW w:w="1566" w:type="dxa"/>
            <w:vMerge w:val="restart"/>
            <w:vAlign w:val="center"/>
          </w:tcPr>
          <w:p>
            <w:pPr>
              <w:keepNext w:val="0"/>
              <w:keepLines w:val="0"/>
              <w:pageBreakBefore w:val="0"/>
              <w:widowControl w:val="0"/>
              <w:kinsoku/>
              <w:wordWrap/>
              <w:overflowPunct/>
              <w:autoSpaceDN/>
              <w:bidi w:val="0"/>
              <w:adjustRightInd w:val="0"/>
              <w:snapToGrid w:val="0"/>
              <w:spacing w:line="300" w:lineRule="exact"/>
              <w:ind w:right="0" w:rightChars="0" w:firstLine="0" w:firstLineChars="0"/>
              <w:jc w:val="both"/>
              <w:textAlignment w:val="auto"/>
              <w:outlineLvl w:val="9"/>
              <w:rPr>
                <w:rFonts w:hint="default" w:ascii="楷体_GB2312" w:eastAsia="楷体_GB2312" w:cs="楷体_GB2312"/>
                <w:b/>
                <w:sz w:val="24"/>
                <w:lang w:val="en-US" w:eastAsia="zh-CN"/>
              </w:rPr>
            </w:pPr>
            <w:r>
              <w:rPr>
                <w:rFonts w:hint="eastAsia" w:ascii="楷体_GB2312" w:eastAsia="楷体_GB2312" w:cs="楷体_GB2312"/>
                <w:b/>
                <w:sz w:val="24"/>
              </w:rPr>
              <w:t>（二）</w:t>
            </w:r>
            <w:r>
              <w:rPr>
                <w:rFonts w:hint="eastAsia" w:ascii="楷体_GB2312" w:eastAsia="楷体_GB2312" w:cs="楷体_GB2312"/>
                <w:b/>
                <w:sz w:val="24"/>
                <w:lang w:val="en-US" w:eastAsia="zh-CN"/>
              </w:rPr>
              <w:t>策划项目清单</w:t>
            </w:r>
          </w:p>
        </w:tc>
        <w:tc>
          <w:tcPr>
            <w:tcW w:w="9561" w:type="dxa"/>
            <w:vAlign w:val="center"/>
          </w:tcPr>
          <w:p>
            <w:pPr>
              <w:keepNext w:val="0"/>
              <w:keepLines w:val="0"/>
              <w:pageBreakBefore w:val="0"/>
              <w:widowControl w:val="0"/>
              <w:kinsoku/>
              <w:wordWrap/>
              <w:overflowPunct/>
              <w:topLinePunct/>
              <w:autoSpaceDE w:val="0"/>
              <w:autoSpaceDN/>
              <w:bidi w:val="0"/>
              <w:adjustRightInd w:val="0"/>
              <w:snapToGrid w:val="0"/>
              <w:spacing w:line="300" w:lineRule="exact"/>
              <w:ind w:right="0" w:rightChars="0" w:firstLine="0" w:firstLineChars="0"/>
              <w:jc w:val="both"/>
              <w:textAlignment w:val="auto"/>
              <w:outlineLvl w:val="9"/>
              <w:rPr>
                <w:rFonts w:hint="eastAsia" w:ascii="仿宋_GB2312" w:eastAsia="仿宋_GB2312"/>
                <w:sz w:val="24"/>
              </w:rPr>
            </w:pPr>
            <w:r>
              <w:rPr>
                <w:rFonts w:hint="eastAsia" w:ascii="仿宋_GB2312" w:eastAsia="仿宋_GB2312"/>
                <w:sz w:val="24"/>
              </w:rPr>
              <w:t>3.规划编制。全面调查分析村庄演变趋势、人口分布、地形地貌、治理现状、治理需求等，开展已建设施及管网“回头看”，统筹供水与排水、城镇与村庄、新建与已建、设施与管网、建设与运维，合理确定治理模式、目标任务，规范编制或修订完善县域农村生活污水治理规划（方案），并将工作任务细化到自然村，2021年</w:t>
            </w:r>
            <w:r>
              <w:rPr>
                <w:rFonts w:hint="eastAsia" w:ascii="仿宋_GB2312" w:eastAsia="仿宋_GB2312"/>
                <w:sz w:val="24"/>
                <w:lang w:val="en-US" w:eastAsia="zh-CN"/>
              </w:rPr>
              <w:t>12</w:t>
            </w:r>
            <w:r>
              <w:rPr>
                <w:rFonts w:hint="eastAsia" w:ascii="仿宋_GB2312" w:eastAsia="仿宋_GB2312"/>
                <w:sz w:val="24"/>
              </w:rPr>
              <w:t>月底前完成编制或修订工作</w:t>
            </w:r>
            <w:r>
              <w:rPr>
                <w:rFonts w:hint="eastAsia" w:ascii="仿宋_GB2312" w:eastAsia="仿宋_GB2312"/>
                <w:sz w:val="24"/>
                <w:lang w:eastAsia="zh-CN"/>
              </w:rPr>
              <w:t>，</w:t>
            </w:r>
            <w:r>
              <w:rPr>
                <w:rFonts w:hint="eastAsia" w:ascii="仿宋_GB2312" w:eastAsia="仿宋_GB2312"/>
                <w:sz w:val="24"/>
              </w:rPr>
              <w:t>由县人民政府印发实施。</w:t>
            </w:r>
          </w:p>
        </w:tc>
        <w:tc>
          <w:tcPr>
            <w:tcW w:w="2809" w:type="dxa"/>
            <w:vAlign w:val="center"/>
          </w:tcPr>
          <w:p>
            <w:pPr>
              <w:keepNext w:val="0"/>
              <w:keepLines w:val="0"/>
              <w:pageBreakBefore w:val="0"/>
              <w:widowControl w:val="0"/>
              <w:kinsoku/>
              <w:wordWrap/>
              <w:overflowPunct/>
              <w:topLinePunct/>
              <w:autoSpaceDE w:val="0"/>
              <w:autoSpaceDN/>
              <w:bidi w:val="0"/>
              <w:adjustRightInd w:val="0"/>
              <w:snapToGrid w:val="0"/>
              <w:spacing w:line="300" w:lineRule="exact"/>
              <w:ind w:right="0" w:rightChars="0" w:firstLine="0" w:firstLineChars="0"/>
              <w:jc w:val="both"/>
              <w:textAlignment w:val="auto"/>
              <w:outlineLvl w:val="9"/>
              <w:rPr>
                <w:rFonts w:hint="eastAsia" w:ascii="仿宋_GB2312" w:eastAsia="仿宋_GB2312"/>
                <w:sz w:val="24"/>
              </w:rPr>
            </w:pPr>
            <w:r>
              <w:rPr>
                <w:rFonts w:hint="eastAsia" w:ascii="仿宋_GB2312" w:eastAsia="仿宋_GB2312"/>
                <w:sz w:val="24"/>
                <w:lang w:eastAsia="zh-CN"/>
              </w:rPr>
              <w:t>安溪</w:t>
            </w:r>
            <w:r>
              <w:rPr>
                <w:rFonts w:hint="eastAsia" w:ascii="仿宋_GB2312" w:eastAsia="仿宋_GB2312"/>
                <w:sz w:val="24"/>
              </w:rPr>
              <w:t>生态环境局牵头，</w:t>
            </w:r>
            <w:r>
              <w:rPr>
                <w:rFonts w:hint="eastAsia" w:ascii="仿宋_GB2312" w:eastAsia="仿宋_GB2312"/>
                <w:sz w:val="24"/>
                <w:lang w:val="en-US" w:eastAsia="zh-CN"/>
              </w:rPr>
              <w:t>县发改局</w:t>
            </w:r>
            <w:r>
              <w:rPr>
                <w:rFonts w:hint="eastAsia" w:ascii="仿宋_GB2312" w:eastAsia="仿宋_GB2312"/>
                <w:sz w:val="24"/>
              </w:rPr>
              <w:t>、城管局、卫健</w:t>
            </w:r>
            <w:r>
              <w:rPr>
                <w:rFonts w:hint="eastAsia" w:ascii="仿宋_GB2312" w:eastAsia="仿宋_GB2312"/>
                <w:sz w:val="24"/>
                <w:lang w:val="en-US" w:eastAsia="zh-CN"/>
              </w:rPr>
              <w:t>局</w:t>
            </w:r>
            <w:r>
              <w:rPr>
                <w:rFonts w:hint="eastAsia" w:ascii="仿宋_GB2312" w:eastAsia="仿宋_GB2312"/>
                <w:sz w:val="24"/>
              </w:rPr>
              <w:t>、水利局</w:t>
            </w:r>
            <w:r>
              <w:rPr>
                <w:rFonts w:hint="eastAsia" w:ascii="仿宋_GB2312" w:eastAsia="仿宋_GB2312"/>
                <w:sz w:val="24"/>
                <w:lang w:eastAsia="zh-CN"/>
              </w:rPr>
              <w:t>、</w:t>
            </w:r>
            <w:r>
              <w:rPr>
                <w:rFonts w:hint="eastAsia" w:ascii="仿宋_GB2312" w:eastAsia="仿宋_GB2312"/>
                <w:sz w:val="24"/>
                <w:lang w:val="en-US" w:eastAsia="zh-CN"/>
              </w:rPr>
              <w:t>资源局</w:t>
            </w:r>
            <w:r>
              <w:rPr>
                <w:rFonts w:hint="eastAsia" w:ascii="仿宋_GB2312" w:eastAsia="仿宋_GB2312"/>
                <w:sz w:val="24"/>
              </w:rPr>
              <w:t>配合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99" w:hRule="atLeast"/>
          <w:jc w:val="center"/>
        </w:trPr>
        <w:tc>
          <w:tcPr>
            <w:tcW w:w="1566" w:type="dxa"/>
            <w:vMerge w:val="continue"/>
            <w:vAlign w:val="center"/>
          </w:tcPr>
          <w:p>
            <w:pPr>
              <w:keepNext w:val="0"/>
              <w:keepLines w:val="0"/>
              <w:pageBreakBefore w:val="0"/>
              <w:widowControl w:val="0"/>
              <w:kinsoku/>
              <w:wordWrap/>
              <w:overflowPunct/>
              <w:autoSpaceDN/>
              <w:bidi w:val="0"/>
              <w:spacing w:line="300" w:lineRule="exact"/>
              <w:ind w:right="0" w:rightChars="0" w:firstLine="0" w:firstLineChars="0"/>
              <w:jc w:val="both"/>
              <w:textAlignment w:val="auto"/>
              <w:outlineLvl w:val="9"/>
            </w:pPr>
          </w:p>
        </w:tc>
        <w:tc>
          <w:tcPr>
            <w:tcW w:w="9561" w:type="dxa"/>
            <w:vAlign w:val="center"/>
          </w:tcPr>
          <w:p>
            <w:pPr>
              <w:keepNext w:val="0"/>
              <w:keepLines w:val="0"/>
              <w:pageBreakBefore w:val="0"/>
              <w:widowControl w:val="0"/>
              <w:kinsoku/>
              <w:wordWrap/>
              <w:overflowPunct/>
              <w:topLinePunct/>
              <w:autoSpaceDE w:val="0"/>
              <w:autoSpaceDN/>
              <w:bidi w:val="0"/>
              <w:adjustRightInd w:val="0"/>
              <w:snapToGrid w:val="0"/>
              <w:spacing w:line="300" w:lineRule="exact"/>
              <w:ind w:right="0" w:rightChars="0" w:firstLine="0" w:firstLineChars="0"/>
              <w:jc w:val="both"/>
              <w:textAlignment w:val="auto"/>
              <w:outlineLvl w:val="9"/>
              <w:rPr>
                <w:rFonts w:hint="eastAsia" w:ascii="仿宋_GB2312" w:eastAsia="仿宋_GB2312"/>
                <w:sz w:val="24"/>
              </w:rPr>
            </w:pPr>
            <w:r>
              <w:rPr>
                <w:rFonts w:hint="eastAsia" w:ascii="仿宋_GB2312" w:eastAsia="仿宋_GB2312"/>
                <w:sz w:val="24"/>
              </w:rPr>
              <w:t>4.</w:t>
            </w:r>
            <w:r>
              <w:rPr>
                <w:rFonts w:hint="eastAsia" w:ascii="仿宋_GB2312" w:eastAsia="仿宋_GB2312"/>
                <w:sz w:val="24"/>
                <w:lang w:val="en-US" w:eastAsia="zh-CN"/>
              </w:rPr>
              <w:t>策划项目。</w:t>
            </w:r>
            <w:r>
              <w:rPr>
                <w:rFonts w:hint="eastAsia" w:ascii="仿宋_GB2312" w:eastAsia="仿宋_GB2312" w:cs="Times New Roman"/>
                <w:sz w:val="24"/>
                <w:lang w:val="en-US" w:eastAsia="zh-CN"/>
              </w:rPr>
              <w:t>充分应用农村生活污水治理专项规划成果，合理制定各年度计划，策划生成年度项目清单，当年度项目清单总投应占到“十四五”期间资金盘子30%以上。于每年10月底前上报下一年度的农村生活污水治理提升项目，3月底前上报项目实施方案，工作任务应细化到自然村，由市生态环境局汇总筛选审核，并报送省生态环境厅。</w:t>
            </w:r>
          </w:p>
          <w:p>
            <w:pPr>
              <w:keepNext w:val="0"/>
              <w:keepLines w:val="0"/>
              <w:pageBreakBefore w:val="0"/>
              <w:widowControl w:val="0"/>
              <w:kinsoku/>
              <w:wordWrap/>
              <w:overflowPunct/>
              <w:topLinePunct/>
              <w:autoSpaceDE w:val="0"/>
              <w:autoSpaceDN/>
              <w:bidi w:val="0"/>
              <w:adjustRightInd w:val="0"/>
              <w:snapToGrid w:val="0"/>
              <w:spacing w:line="300" w:lineRule="exact"/>
              <w:ind w:right="0" w:rightChars="0" w:firstLine="0" w:firstLineChars="0"/>
              <w:jc w:val="both"/>
              <w:textAlignment w:val="auto"/>
              <w:outlineLvl w:val="9"/>
              <w:rPr>
                <w:rFonts w:hint="eastAsia" w:ascii="仿宋_GB2312" w:eastAsia="仿宋_GB2312"/>
                <w:sz w:val="24"/>
              </w:rPr>
            </w:pPr>
          </w:p>
        </w:tc>
        <w:tc>
          <w:tcPr>
            <w:tcW w:w="2809" w:type="dxa"/>
            <w:vAlign w:val="center"/>
          </w:tcPr>
          <w:p>
            <w:pPr>
              <w:keepNext w:val="0"/>
              <w:keepLines w:val="0"/>
              <w:pageBreakBefore w:val="0"/>
              <w:widowControl w:val="0"/>
              <w:kinsoku/>
              <w:wordWrap/>
              <w:overflowPunct/>
              <w:topLinePunct/>
              <w:autoSpaceDE w:val="0"/>
              <w:autoSpaceDN/>
              <w:bidi w:val="0"/>
              <w:adjustRightInd w:val="0"/>
              <w:snapToGrid w:val="0"/>
              <w:spacing w:line="300" w:lineRule="exact"/>
              <w:ind w:right="0" w:rightChars="0" w:firstLine="0" w:firstLineChars="0"/>
              <w:jc w:val="both"/>
              <w:textAlignment w:val="auto"/>
              <w:outlineLvl w:val="9"/>
              <w:rPr>
                <w:rFonts w:hint="eastAsia" w:ascii="仿宋_GB2312" w:eastAsia="仿宋_GB2312"/>
                <w:sz w:val="24"/>
              </w:rPr>
            </w:pPr>
            <w:r>
              <w:rPr>
                <w:rFonts w:hint="eastAsia" w:ascii="仿宋_GB2312" w:eastAsia="仿宋_GB2312"/>
                <w:sz w:val="24"/>
                <w:lang w:eastAsia="zh-CN"/>
              </w:rPr>
              <w:t>安溪</w:t>
            </w:r>
            <w:r>
              <w:rPr>
                <w:rFonts w:hint="eastAsia" w:ascii="仿宋_GB2312" w:eastAsia="仿宋_GB2312"/>
                <w:sz w:val="24"/>
              </w:rPr>
              <w:t>生态环境局牵头，</w:t>
            </w:r>
            <w:r>
              <w:rPr>
                <w:rFonts w:hint="eastAsia" w:ascii="仿宋_GB2312" w:eastAsia="仿宋_GB2312"/>
                <w:sz w:val="24"/>
                <w:lang w:val="en-US" w:eastAsia="zh-CN"/>
              </w:rPr>
              <w:t>县发改局</w:t>
            </w:r>
            <w:r>
              <w:rPr>
                <w:rFonts w:hint="eastAsia" w:ascii="仿宋_GB2312" w:eastAsia="仿宋_GB2312"/>
                <w:sz w:val="24"/>
              </w:rPr>
              <w:t>、城管局、卫健</w:t>
            </w:r>
            <w:r>
              <w:rPr>
                <w:rFonts w:hint="eastAsia" w:ascii="仿宋_GB2312" w:eastAsia="仿宋_GB2312"/>
                <w:sz w:val="24"/>
                <w:lang w:val="en-US" w:eastAsia="zh-CN"/>
              </w:rPr>
              <w:t>局</w:t>
            </w:r>
            <w:r>
              <w:rPr>
                <w:rFonts w:hint="eastAsia" w:ascii="仿宋_GB2312" w:eastAsia="仿宋_GB2312"/>
                <w:sz w:val="24"/>
                <w:lang w:eastAsia="zh-CN"/>
              </w:rPr>
              <w:t>、</w:t>
            </w:r>
            <w:r>
              <w:rPr>
                <w:rFonts w:hint="eastAsia" w:ascii="仿宋_GB2312" w:eastAsia="仿宋_GB2312"/>
                <w:sz w:val="24"/>
                <w:lang w:val="en-US" w:eastAsia="zh-CN"/>
              </w:rPr>
              <w:t>水利局、资源局</w:t>
            </w:r>
            <w:r>
              <w:rPr>
                <w:rFonts w:hint="eastAsia" w:ascii="仿宋_GB2312" w:eastAsia="仿宋_GB2312"/>
                <w:sz w:val="24"/>
              </w:rPr>
              <w:t>等配合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80" w:hRule="atLeast"/>
          <w:jc w:val="center"/>
        </w:trPr>
        <w:tc>
          <w:tcPr>
            <w:tcW w:w="1566" w:type="dxa"/>
            <w:vMerge w:val="restart"/>
            <w:vAlign w:val="center"/>
          </w:tcPr>
          <w:p>
            <w:pPr>
              <w:keepNext w:val="0"/>
              <w:keepLines w:val="0"/>
              <w:pageBreakBefore w:val="0"/>
              <w:widowControl w:val="0"/>
              <w:kinsoku/>
              <w:wordWrap/>
              <w:overflowPunct/>
              <w:autoSpaceDN/>
              <w:bidi w:val="0"/>
              <w:adjustRightInd w:val="0"/>
              <w:snapToGrid w:val="0"/>
              <w:spacing w:line="300" w:lineRule="exact"/>
              <w:ind w:right="0" w:rightChars="0" w:firstLine="0" w:firstLineChars="0"/>
              <w:jc w:val="both"/>
              <w:textAlignment w:val="auto"/>
              <w:outlineLvl w:val="9"/>
              <w:rPr>
                <w:rFonts w:ascii="楷体_GB2312" w:eastAsia="楷体_GB2312" w:cs="楷体_GB2312"/>
                <w:sz w:val="24"/>
              </w:rPr>
            </w:pPr>
            <w:r>
              <w:rPr>
                <w:rFonts w:hint="eastAsia" w:ascii="楷体_GB2312" w:eastAsia="楷体_GB2312" w:cs="楷体_GB2312"/>
                <w:b/>
                <w:sz w:val="24"/>
              </w:rPr>
              <w:t>（三）实施精准治理</w:t>
            </w:r>
          </w:p>
        </w:tc>
        <w:tc>
          <w:tcPr>
            <w:tcW w:w="9561" w:type="dxa"/>
            <w:vAlign w:val="center"/>
          </w:tcPr>
          <w:p>
            <w:pPr>
              <w:keepNext w:val="0"/>
              <w:keepLines w:val="0"/>
              <w:pageBreakBefore w:val="0"/>
              <w:widowControl w:val="0"/>
              <w:kinsoku/>
              <w:wordWrap/>
              <w:overflowPunct/>
              <w:topLinePunct/>
              <w:autoSpaceDE w:val="0"/>
              <w:autoSpaceDN/>
              <w:bidi w:val="0"/>
              <w:adjustRightInd w:val="0"/>
              <w:snapToGrid w:val="0"/>
              <w:spacing w:line="300" w:lineRule="exact"/>
              <w:ind w:right="0" w:rightChars="0" w:firstLine="0" w:firstLineChars="0"/>
              <w:jc w:val="both"/>
              <w:textAlignment w:val="auto"/>
              <w:outlineLvl w:val="9"/>
              <w:rPr>
                <w:rFonts w:hint="eastAsia" w:ascii="仿宋_GB2312" w:eastAsia="仿宋_GB2312"/>
                <w:sz w:val="24"/>
                <w:lang w:val="en-US" w:eastAsia="zh-CN"/>
              </w:rPr>
            </w:pPr>
            <w:r>
              <w:rPr>
                <w:rFonts w:hint="eastAsia" w:ascii="仿宋_GB2312" w:eastAsia="仿宋_GB2312"/>
                <w:sz w:val="24"/>
                <w:lang w:val="en-US" w:eastAsia="zh-CN"/>
              </w:rPr>
              <w:t>5</w:t>
            </w:r>
            <w:r>
              <w:rPr>
                <w:rFonts w:hint="eastAsia" w:ascii="仿宋_GB2312" w:eastAsia="仿宋_GB2312"/>
                <w:sz w:val="24"/>
              </w:rPr>
              <w:t>.</w:t>
            </w:r>
            <w:r>
              <w:rPr>
                <w:rFonts w:hint="eastAsia" w:ascii="仿宋_GB2312" w:eastAsia="仿宋_GB2312"/>
                <w:sz w:val="24"/>
                <w:lang w:val="en-US" w:eastAsia="zh-CN"/>
              </w:rPr>
              <w:t>优先</w:t>
            </w:r>
            <w:r>
              <w:rPr>
                <w:rFonts w:hint="eastAsia" w:ascii="仿宋_GB2312" w:eastAsia="仿宋_GB2312"/>
                <w:sz w:val="24"/>
              </w:rPr>
              <w:t>提升存量</w:t>
            </w:r>
            <w:r>
              <w:rPr>
                <w:rFonts w:hint="eastAsia" w:ascii="仿宋_GB2312" w:eastAsia="仿宋_GB2312" w:cs="Times New Roman"/>
                <w:sz w:val="24"/>
              </w:rPr>
              <w:t>。</w:t>
            </w:r>
            <w:r>
              <w:rPr>
                <w:rFonts w:hint="eastAsia" w:ascii="仿宋_GB2312" w:eastAsia="仿宋_GB2312" w:cs="Times New Roman"/>
                <w:sz w:val="24"/>
                <w:szCs w:val="24"/>
                <w:u w:val="none"/>
                <w:lang w:val="en-US" w:eastAsia="zh-CN"/>
              </w:rPr>
              <w:t>对已建处理站或主干管</w:t>
            </w:r>
            <w:r>
              <w:rPr>
                <w:rFonts w:hint="eastAsia" w:ascii="仿宋_GB2312" w:eastAsia="仿宋_GB2312" w:cs="Times New Roman"/>
                <w:sz w:val="24"/>
                <w:szCs w:val="24"/>
                <w:u w:val="none"/>
              </w:rPr>
              <w:t>的村庄，分批实施提升</w:t>
            </w:r>
            <w:r>
              <w:rPr>
                <w:rFonts w:hint="eastAsia" w:ascii="仿宋_GB2312" w:eastAsia="仿宋_GB2312" w:cs="Times New Roman"/>
                <w:sz w:val="24"/>
                <w:szCs w:val="24"/>
                <w:u w:val="none"/>
                <w:lang w:val="en-US" w:eastAsia="zh-CN"/>
              </w:rPr>
              <w:t>治理</w:t>
            </w:r>
            <w:r>
              <w:rPr>
                <w:rFonts w:hint="eastAsia" w:ascii="仿宋_GB2312" w:eastAsia="仿宋_GB2312" w:cs="Times New Roman"/>
                <w:sz w:val="24"/>
                <w:szCs w:val="24"/>
                <w:u w:val="none"/>
                <w:lang w:eastAsia="zh-CN"/>
              </w:rPr>
              <w:t>，</w:t>
            </w:r>
            <w:r>
              <w:rPr>
                <w:rFonts w:hint="eastAsia" w:ascii="仿宋_GB2312" w:eastAsia="仿宋_GB2312" w:cs="Times New Roman"/>
                <w:sz w:val="24"/>
              </w:rPr>
              <w:t>从管网延伸</w:t>
            </w:r>
            <w:r>
              <w:rPr>
                <w:rFonts w:hint="eastAsia" w:ascii="仿宋_GB2312" w:eastAsia="仿宋_GB2312" w:cs="Times New Roman"/>
                <w:sz w:val="24"/>
                <w:lang w:val="en-US" w:eastAsia="zh-CN"/>
              </w:rPr>
              <w:t>覆盖</w:t>
            </w:r>
            <w:r>
              <w:rPr>
                <w:rFonts w:hint="eastAsia" w:ascii="仿宋_GB2312" w:eastAsia="仿宋_GB2312" w:cs="Times New Roman"/>
                <w:sz w:val="24"/>
              </w:rPr>
              <w:t>、设施提升</w:t>
            </w:r>
            <w:r>
              <w:rPr>
                <w:rFonts w:hint="eastAsia" w:ascii="仿宋_GB2312" w:eastAsia="仿宋_GB2312" w:cs="Times New Roman"/>
                <w:sz w:val="24"/>
                <w:lang w:val="en-US" w:eastAsia="zh-CN"/>
              </w:rPr>
              <w:t>改造</w:t>
            </w:r>
            <w:r>
              <w:rPr>
                <w:rFonts w:hint="eastAsia" w:ascii="仿宋_GB2312" w:eastAsia="仿宋_GB2312" w:cs="Times New Roman"/>
                <w:sz w:val="24"/>
              </w:rPr>
              <w:t>、资源化利用、管护机制入手，对标对表，</w:t>
            </w:r>
            <w:r>
              <w:rPr>
                <w:rFonts w:hint="eastAsia" w:ascii="仿宋_GB2312" w:eastAsia="仿宋_GB2312" w:cs="Times New Roman"/>
                <w:sz w:val="24"/>
                <w:lang w:val="en-US" w:eastAsia="zh-CN"/>
              </w:rPr>
              <w:t>实施</w:t>
            </w:r>
            <w:r>
              <w:rPr>
                <w:rFonts w:hint="eastAsia" w:ascii="仿宋_GB2312" w:eastAsia="仿宋_GB2312" w:cs="Times New Roman"/>
                <w:sz w:val="24"/>
              </w:rPr>
              <w:t>提升</w:t>
            </w:r>
            <w:r>
              <w:rPr>
                <w:rFonts w:hint="eastAsia" w:ascii="仿宋_GB2312" w:eastAsia="仿宋_GB2312" w:cs="Times New Roman"/>
                <w:sz w:val="24"/>
                <w:lang w:val="en-US" w:eastAsia="zh-CN"/>
              </w:rPr>
              <w:t>治理</w:t>
            </w:r>
            <w:r>
              <w:rPr>
                <w:rFonts w:hint="eastAsia" w:ascii="仿宋_GB2312" w:eastAsia="仿宋_GB2312" w:cs="Times New Roman"/>
                <w:sz w:val="24"/>
              </w:rPr>
              <w:t>。完成提升治理的村庄，通过“纳厂、集中、分散”实现处理的总户数须占该</w:t>
            </w:r>
            <w:r>
              <w:rPr>
                <w:rFonts w:hint="eastAsia" w:ascii="仿宋_GB2312" w:eastAsia="仿宋_GB2312"/>
                <w:sz w:val="24"/>
              </w:rPr>
              <w:t>村庄常住户数90%以上。</w:t>
            </w:r>
          </w:p>
        </w:tc>
        <w:tc>
          <w:tcPr>
            <w:tcW w:w="2809" w:type="dxa"/>
            <w:vAlign w:val="center"/>
          </w:tcPr>
          <w:p>
            <w:pPr>
              <w:keepNext w:val="0"/>
              <w:keepLines w:val="0"/>
              <w:pageBreakBefore w:val="0"/>
              <w:widowControl w:val="0"/>
              <w:kinsoku/>
              <w:wordWrap/>
              <w:overflowPunct/>
              <w:topLinePunct/>
              <w:autoSpaceDE w:val="0"/>
              <w:autoSpaceDN/>
              <w:bidi w:val="0"/>
              <w:adjustRightInd w:val="0"/>
              <w:snapToGrid w:val="0"/>
              <w:spacing w:line="300" w:lineRule="exact"/>
              <w:ind w:right="0" w:rightChars="0" w:firstLine="0" w:firstLineChars="0"/>
              <w:jc w:val="both"/>
              <w:textAlignment w:val="auto"/>
              <w:outlineLvl w:val="9"/>
              <w:rPr>
                <w:rFonts w:hint="eastAsia" w:ascii="仿宋_GB2312" w:eastAsia="仿宋_GB2312"/>
                <w:sz w:val="24"/>
              </w:rPr>
            </w:pPr>
            <w:r>
              <w:rPr>
                <w:rFonts w:hint="eastAsia" w:ascii="仿宋_GB2312" w:eastAsia="仿宋_GB2312"/>
                <w:sz w:val="24"/>
                <w:lang w:eastAsia="zh-CN"/>
              </w:rPr>
              <w:t>安溪</w:t>
            </w:r>
            <w:r>
              <w:rPr>
                <w:rFonts w:hint="eastAsia" w:ascii="仿宋_GB2312" w:eastAsia="仿宋_GB2312"/>
                <w:sz w:val="24"/>
              </w:rPr>
              <w:t>生态环境局牵头，</w:t>
            </w:r>
            <w:r>
              <w:rPr>
                <w:rFonts w:hint="eastAsia" w:ascii="仿宋_GB2312" w:eastAsia="仿宋_GB2312"/>
                <w:sz w:val="24"/>
                <w:lang w:eastAsia="zh-CN"/>
              </w:rPr>
              <w:t>县</w:t>
            </w:r>
            <w:r>
              <w:rPr>
                <w:rFonts w:hint="eastAsia" w:ascii="仿宋_GB2312" w:eastAsia="仿宋_GB2312"/>
                <w:sz w:val="24"/>
              </w:rPr>
              <w:t>城管局、卫健</w:t>
            </w:r>
            <w:r>
              <w:rPr>
                <w:rFonts w:hint="eastAsia" w:ascii="仿宋_GB2312" w:eastAsia="仿宋_GB2312"/>
                <w:sz w:val="24"/>
                <w:lang w:eastAsia="zh-CN"/>
              </w:rPr>
              <w:t>局</w:t>
            </w:r>
            <w:r>
              <w:rPr>
                <w:rFonts w:hint="eastAsia" w:ascii="仿宋_GB2312" w:eastAsia="仿宋_GB2312"/>
                <w:sz w:val="24"/>
              </w:rPr>
              <w:t>、农业农村局</w:t>
            </w:r>
            <w:r>
              <w:rPr>
                <w:rFonts w:hint="eastAsia" w:ascii="仿宋_GB2312" w:eastAsia="仿宋_GB2312"/>
                <w:sz w:val="24"/>
                <w:lang w:eastAsia="zh-CN"/>
              </w:rPr>
              <w:t>、</w:t>
            </w:r>
            <w:r>
              <w:rPr>
                <w:rFonts w:hint="eastAsia" w:ascii="仿宋_GB2312" w:eastAsia="仿宋_GB2312"/>
                <w:sz w:val="24"/>
                <w:lang w:val="en-US" w:eastAsia="zh-CN"/>
              </w:rPr>
              <w:t>水利局</w:t>
            </w:r>
            <w:r>
              <w:rPr>
                <w:rFonts w:hint="eastAsia" w:ascii="仿宋_GB2312" w:eastAsia="仿宋_GB2312"/>
                <w:sz w:val="24"/>
              </w:rPr>
              <w:t>配合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25" w:hRule="atLeast"/>
          <w:jc w:val="center"/>
        </w:trPr>
        <w:tc>
          <w:tcPr>
            <w:tcW w:w="1566" w:type="dxa"/>
            <w:vMerge w:val="continue"/>
            <w:vAlign w:val="center"/>
          </w:tcPr>
          <w:p>
            <w:pPr>
              <w:keepNext w:val="0"/>
              <w:keepLines w:val="0"/>
              <w:pageBreakBefore w:val="0"/>
              <w:widowControl w:val="0"/>
              <w:kinsoku/>
              <w:wordWrap/>
              <w:overflowPunct/>
              <w:autoSpaceDN/>
              <w:bidi w:val="0"/>
              <w:adjustRightInd w:val="0"/>
              <w:snapToGrid w:val="0"/>
              <w:spacing w:line="300" w:lineRule="exact"/>
              <w:ind w:right="0" w:rightChars="0" w:firstLine="0" w:firstLineChars="0"/>
              <w:jc w:val="both"/>
              <w:textAlignment w:val="auto"/>
              <w:outlineLvl w:val="9"/>
              <w:rPr>
                <w:rFonts w:ascii="楷体_GB2312" w:eastAsia="楷体_GB2312" w:cs="楷体_GB2312"/>
                <w:sz w:val="24"/>
              </w:rPr>
            </w:pPr>
          </w:p>
        </w:tc>
        <w:tc>
          <w:tcPr>
            <w:tcW w:w="9561" w:type="dxa"/>
            <w:vAlign w:val="center"/>
          </w:tcPr>
          <w:p>
            <w:pPr>
              <w:keepNext w:val="0"/>
              <w:keepLines w:val="0"/>
              <w:pageBreakBefore w:val="0"/>
              <w:widowControl w:val="0"/>
              <w:kinsoku/>
              <w:wordWrap/>
              <w:overflowPunct/>
              <w:topLinePunct/>
              <w:autoSpaceDE w:val="0"/>
              <w:autoSpaceDN/>
              <w:bidi w:val="0"/>
              <w:adjustRightInd w:val="0"/>
              <w:snapToGrid w:val="0"/>
              <w:spacing w:line="300" w:lineRule="exact"/>
              <w:ind w:right="0" w:rightChars="0" w:firstLine="0" w:firstLineChars="0"/>
              <w:jc w:val="both"/>
              <w:textAlignment w:val="auto"/>
              <w:outlineLvl w:val="9"/>
              <w:rPr>
                <w:rFonts w:hint="eastAsia" w:ascii="仿宋_GB2312" w:eastAsia="仿宋_GB2312"/>
                <w:sz w:val="24"/>
              </w:rPr>
            </w:pPr>
            <w:r>
              <w:rPr>
                <w:rFonts w:hint="eastAsia" w:ascii="仿宋_GB2312" w:eastAsia="仿宋_GB2312"/>
                <w:sz w:val="24"/>
                <w:lang w:val="en-US" w:eastAsia="zh-CN"/>
              </w:rPr>
              <w:t>6</w:t>
            </w:r>
            <w:r>
              <w:rPr>
                <w:rFonts w:hint="eastAsia" w:ascii="仿宋_GB2312" w:eastAsia="仿宋_GB2312"/>
                <w:sz w:val="24"/>
              </w:rPr>
              <w:t>.</w:t>
            </w:r>
            <w:r>
              <w:rPr>
                <w:rFonts w:hint="eastAsia" w:ascii="仿宋_GB2312" w:eastAsia="仿宋_GB2312"/>
                <w:sz w:val="24"/>
                <w:lang w:val="en-US" w:eastAsia="zh-CN"/>
              </w:rPr>
              <w:t>稳步增量建设。</w:t>
            </w:r>
            <w:r>
              <w:rPr>
                <w:rFonts w:hint="eastAsia" w:ascii="仿宋_GB2312" w:eastAsia="仿宋_GB2312"/>
                <w:sz w:val="24"/>
              </w:rPr>
              <w:t>根据地形地貌、人口分布、施工条件等，合理选择、灵活组合“纳厂、集中、分散”等技术路线，科学确定设施规模和数量，实施精准治理。完成提升治理的村庄，通过“纳厂、集中、分散”实现处理的总户数占该村庄常住户数90%以上。其中，对位于城镇、园区周边的，要坚持以城带村、以镇（乡）带村、以园区带村，具备纳管条件的优先纳入城镇（含乡镇）、园区污水处理厂统一处理，加快推进城镇（含乡镇）污水管网和服务向周边村庄延伸；对距离城镇较远且人口相对集中的，优先建设集中式污水处理设施；对人口分散或较少的，结合户厕改造建设标准三格化粪池，尾水通过污水管就近还林还田。</w:t>
            </w:r>
          </w:p>
        </w:tc>
        <w:tc>
          <w:tcPr>
            <w:tcW w:w="2809" w:type="dxa"/>
            <w:vAlign w:val="center"/>
          </w:tcPr>
          <w:p>
            <w:pPr>
              <w:keepNext w:val="0"/>
              <w:keepLines w:val="0"/>
              <w:pageBreakBefore w:val="0"/>
              <w:widowControl w:val="0"/>
              <w:kinsoku/>
              <w:wordWrap/>
              <w:overflowPunct/>
              <w:topLinePunct/>
              <w:autoSpaceDE w:val="0"/>
              <w:autoSpaceDN/>
              <w:bidi w:val="0"/>
              <w:adjustRightInd w:val="0"/>
              <w:snapToGrid w:val="0"/>
              <w:spacing w:line="300" w:lineRule="exact"/>
              <w:ind w:right="0" w:rightChars="0" w:firstLine="0" w:firstLineChars="0"/>
              <w:jc w:val="both"/>
              <w:textAlignment w:val="auto"/>
              <w:outlineLvl w:val="9"/>
              <w:rPr>
                <w:rFonts w:hint="eastAsia" w:ascii="仿宋_GB2312" w:eastAsia="仿宋_GB2312"/>
                <w:sz w:val="24"/>
              </w:rPr>
            </w:pPr>
            <w:r>
              <w:rPr>
                <w:rFonts w:hint="eastAsia" w:ascii="仿宋_GB2312" w:eastAsia="仿宋_GB2312"/>
                <w:sz w:val="24"/>
                <w:lang w:eastAsia="zh-CN"/>
              </w:rPr>
              <w:t>安溪</w:t>
            </w:r>
            <w:r>
              <w:rPr>
                <w:rFonts w:hint="eastAsia" w:ascii="仿宋_GB2312" w:eastAsia="仿宋_GB2312"/>
                <w:sz w:val="24"/>
              </w:rPr>
              <w:t>生态环境局牵头，</w:t>
            </w:r>
            <w:r>
              <w:rPr>
                <w:rFonts w:hint="eastAsia" w:ascii="仿宋_GB2312" w:eastAsia="仿宋_GB2312"/>
                <w:sz w:val="24"/>
                <w:lang w:eastAsia="zh-CN"/>
              </w:rPr>
              <w:t>县</w:t>
            </w:r>
            <w:r>
              <w:rPr>
                <w:rFonts w:hint="eastAsia" w:ascii="仿宋_GB2312" w:eastAsia="仿宋_GB2312"/>
                <w:sz w:val="24"/>
              </w:rPr>
              <w:t>城管局、</w:t>
            </w:r>
            <w:r>
              <w:rPr>
                <w:rFonts w:hint="eastAsia" w:ascii="仿宋_GB2312" w:eastAsia="仿宋_GB2312"/>
                <w:sz w:val="24"/>
                <w:lang w:val="en-US" w:eastAsia="zh-CN"/>
              </w:rPr>
              <w:t>资源局、</w:t>
            </w:r>
            <w:r>
              <w:rPr>
                <w:rFonts w:hint="eastAsia" w:ascii="仿宋_GB2312" w:eastAsia="仿宋_GB2312"/>
                <w:sz w:val="24"/>
              </w:rPr>
              <w:t>卫健</w:t>
            </w:r>
            <w:r>
              <w:rPr>
                <w:rFonts w:hint="eastAsia" w:ascii="仿宋_GB2312" w:eastAsia="仿宋_GB2312"/>
                <w:sz w:val="24"/>
                <w:lang w:eastAsia="zh-CN"/>
              </w:rPr>
              <w:t>局</w:t>
            </w:r>
            <w:r>
              <w:rPr>
                <w:rFonts w:hint="eastAsia" w:ascii="仿宋_GB2312" w:eastAsia="仿宋_GB2312"/>
                <w:sz w:val="24"/>
              </w:rPr>
              <w:t>、农业农村局</w:t>
            </w:r>
            <w:r>
              <w:rPr>
                <w:rFonts w:hint="eastAsia" w:ascii="仿宋_GB2312" w:eastAsia="仿宋_GB2312"/>
                <w:sz w:val="24"/>
                <w:lang w:eastAsia="zh-CN"/>
              </w:rPr>
              <w:t>、</w:t>
            </w:r>
            <w:r>
              <w:rPr>
                <w:rFonts w:hint="eastAsia" w:ascii="仿宋_GB2312" w:eastAsia="仿宋_GB2312"/>
                <w:sz w:val="24"/>
                <w:lang w:val="en-US" w:eastAsia="zh-CN"/>
              </w:rPr>
              <w:t>水利局</w:t>
            </w:r>
            <w:r>
              <w:rPr>
                <w:rFonts w:hint="eastAsia" w:ascii="仿宋_GB2312" w:eastAsia="仿宋_GB2312"/>
                <w:sz w:val="24"/>
              </w:rPr>
              <w:t>配合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1566" w:type="dxa"/>
            <w:vMerge w:val="continue"/>
            <w:vAlign w:val="center"/>
          </w:tcPr>
          <w:p>
            <w:pPr>
              <w:keepNext w:val="0"/>
              <w:keepLines w:val="0"/>
              <w:pageBreakBefore w:val="0"/>
              <w:widowControl w:val="0"/>
              <w:kinsoku/>
              <w:wordWrap/>
              <w:overflowPunct/>
              <w:autoSpaceDN/>
              <w:bidi w:val="0"/>
              <w:spacing w:line="300" w:lineRule="exact"/>
              <w:ind w:right="0" w:rightChars="0" w:firstLine="0" w:firstLineChars="0"/>
              <w:jc w:val="both"/>
              <w:textAlignment w:val="auto"/>
              <w:outlineLvl w:val="9"/>
            </w:pPr>
          </w:p>
        </w:tc>
        <w:tc>
          <w:tcPr>
            <w:tcW w:w="9561" w:type="dxa"/>
            <w:vAlign w:val="center"/>
          </w:tcPr>
          <w:p>
            <w:pPr>
              <w:keepNext w:val="0"/>
              <w:keepLines w:val="0"/>
              <w:pageBreakBefore w:val="0"/>
              <w:widowControl w:val="0"/>
              <w:kinsoku/>
              <w:wordWrap/>
              <w:overflowPunct/>
              <w:topLinePunct/>
              <w:autoSpaceDE w:val="0"/>
              <w:autoSpaceDN/>
              <w:bidi w:val="0"/>
              <w:adjustRightInd w:val="0"/>
              <w:snapToGrid w:val="0"/>
              <w:spacing w:line="300" w:lineRule="exact"/>
              <w:ind w:right="0" w:rightChars="0" w:firstLine="0" w:firstLineChars="0"/>
              <w:jc w:val="both"/>
              <w:textAlignment w:val="auto"/>
              <w:outlineLvl w:val="9"/>
              <w:rPr>
                <w:rFonts w:hint="eastAsia" w:ascii="仿宋_GB2312" w:eastAsia="仿宋_GB2312"/>
                <w:sz w:val="24"/>
              </w:rPr>
            </w:pPr>
            <w:r>
              <w:rPr>
                <w:rFonts w:hint="eastAsia" w:ascii="仿宋_GB2312" w:eastAsia="仿宋_GB2312"/>
                <w:sz w:val="24"/>
                <w:lang w:val="en-US" w:eastAsia="zh-CN"/>
              </w:rPr>
              <w:t>7</w:t>
            </w:r>
            <w:r>
              <w:rPr>
                <w:rFonts w:hint="eastAsia" w:ascii="仿宋_GB2312" w:eastAsia="仿宋_GB2312"/>
                <w:sz w:val="24"/>
              </w:rPr>
              <w:t>.优选适用工艺设备。根据处理规模、排放要求，因地制宜采用污染治理与资源利用相结合、集中与分散相结合的方式，优选低成本、低能耗、易维护、高效率的技术工艺设备，防止片面追求“高大上”。鼓励同区域、同类型的村庄技术工艺设备相对统一，减轻后期运维难度。对节假日人口“潮汐”现象明显的地区，应合理设计调节池等处理设施规模，适当扩大容积。对农村经营活动产生的污水，应充分论证并预处理达到要求后，方可接入。</w:t>
            </w:r>
          </w:p>
        </w:tc>
        <w:tc>
          <w:tcPr>
            <w:tcW w:w="2809" w:type="dxa"/>
            <w:vAlign w:val="center"/>
          </w:tcPr>
          <w:p>
            <w:pPr>
              <w:keepNext w:val="0"/>
              <w:keepLines w:val="0"/>
              <w:pageBreakBefore w:val="0"/>
              <w:widowControl w:val="0"/>
              <w:kinsoku/>
              <w:wordWrap/>
              <w:overflowPunct/>
              <w:topLinePunct/>
              <w:autoSpaceDE w:val="0"/>
              <w:autoSpaceDN/>
              <w:bidi w:val="0"/>
              <w:adjustRightInd w:val="0"/>
              <w:snapToGrid w:val="0"/>
              <w:spacing w:line="300" w:lineRule="exact"/>
              <w:ind w:right="0" w:rightChars="0" w:firstLine="0" w:firstLineChars="0"/>
              <w:jc w:val="both"/>
              <w:textAlignment w:val="auto"/>
              <w:outlineLvl w:val="9"/>
              <w:rPr>
                <w:rFonts w:hint="eastAsia" w:ascii="仿宋_GB2312" w:eastAsia="仿宋_GB2312"/>
                <w:sz w:val="24"/>
              </w:rPr>
            </w:pPr>
            <w:r>
              <w:rPr>
                <w:rFonts w:hint="eastAsia" w:ascii="仿宋_GB2312" w:eastAsia="仿宋_GB2312"/>
                <w:sz w:val="24"/>
                <w:lang w:eastAsia="zh-CN"/>
              </w:rPr>
              <w:t>安溪</w:t>
            </w:r>
            <w:r>
              <w:rPr>
                <w:rFonts w:hint="eastAsia" w:ascii="仿宋_GB2312" w:eastAsia="仿宋_GB2312"/>
                <w:sz w:val="24"/>
              </w:rPr>
              <w:t>生态环境局牵头，</w:t>
            </w:r>
            <w:r>
              <w:rPr>
                <w:rFonts w:hint="eastAsia" w:ascii="仿宋_GB2312" w:eastAsia="仿宋_GB2312"/>
                <w:sz w:val="24"/>
                <w:lang w:eastAsia="zh-CN"/>
              </w:rPr>
              <w:t>县</w:t>
            </w:r>
            <w:r>
              <w:rPr>
                <w:rFonts w:hint="eastAsia" w:ascii="仿宋_GB2312" w:eastAsia="仿宋_GB2312"/>
                <w:sz w:val="24"/>
              </w:rPr>
              <w:t>城管局配合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63" w:hRule="atLeast"/>
          <w:jc w:val="center"/>
        </w:trPr>
        <w:tc>
          <w:tcPr>
            <w:tcW w:w="1566" w:type="dxa"/>
            <w:vMerge w:val="continue"/>
            <w:vAlign w:val="center"/>
          </w:tcPr>
          <w:p>
            <w:pPr>
              <w:keepNext w:val="0"/>
              <w:keepLines w:val="0"/>
              <w:pageBreakBefore w:val="0"/>
              <w:widowControl w:val="0"/>
              <w:kinsoku/>
              <w:wordWrap/>
              <w:overflowPunct/>
              <w:autoSpaceDN/>
              <w:bidi w:val="0"/>
              <w:spacing w:line="300" w:lineRule="exact"/>
              <w:ind w:right="0" w:rightChars="0" w:firstLine="0" w:firstLineChars="0"/>
              <w:jc w:val="both"/>
              <w:textAlignment w:val="auto"/>
              <w:outlineLvl w:val="9"/>
            </w:pPr>
          </w:p>
        </w:tc>
        <w:tc>
          <w:tcPr>
            <w:tcW w:w="9561" w:type="dxa"/>
            <w:vAlign w:val="center"/>
          </w:tcPr>
          <w:p>
            <w:pPr>
              <w:keepNext w:val="0"/>
              <w:keepLines w:val="0"/>
              <w:pageBreakBefore w:val="0"/>
              <w:widowControl w:val="0"/>
              <w:kinsoku/>
              <w:wordWrap/>
              <w:overflowPunct/>
              <w:topLinePunct/>
              <w:autoSpaceDE w:val="0"/>
              <w:autoSpaceDN/>
              <w:bidi w:val="0"/>
              <w:adjustRightInd w:val="0"/>
              <w:snapToGrid w:val="0"/>
              <w:spacing w:line="300" w:lineRule="exact"/>
              <w:ind w:right="0" w:rightChars="0" w:firstLine="0" w:firstLineChars="0"/>
              <w:jc w:val="both"/>
              <w:textAlignment w:val="auto"/>
              <w:outlineLvl w:val="9"/>
              <w:rPr>
                <w:rFonts w:hint="eastAsia" w:ascii="仿宋_GB2312" w:eastAsia="仿宋_GB2312"/>
                <w:sz w:val="24"/>
              </w:rPr>
            </w:pPr>
            <w:r>
              <w:rPr>
                <w:rFonts w:hint="eastAsia" w:ascii="仿宋_GB2312" w:eastAsia="仿宋_GB2312"/>
                <w:sz w:val="24"/>
                <w:lang w:val="en-US" w:eastAsia="zh-CN"/>
              </w:rPr>
              <w:t>8</w:t>
            </w:r>
            <w:r>
              <w:rPr>
                <w:rFonts w:hint="eastAsia" w:ascii="仿宋_GB2312" w:eastAsia="仿宋_GB2312"/>
                <w:sz w:val="24"/>
              </w:rPr>
              <w:t>.开展资源化利用。鼓励农户利用房前屋后菜园、果园、花园等就近消纳三格化粪池尾水。鼓励高标准农田建设、农田水利建设与农村生活污水站尾水综合利用相结合，统一规划、一体设计，将污水处理站尾水回用于灌溉、绿化、景观等，实现农业农村水资源的良性循环。探索污泥处置模式，合理布局污泥集中收集处置中心，开展污泥与秸秆综合利用等。</w:t>
            </w:r>
          </w:p>
        </w:tc>
        <w:tc>
          <w:tcPr>
            <w:tcW w:w="2809" w:type="dxa"/>
            <w:vAlign w:val="center"/>
          </w:tcPr>
          <w:p>
            <w:pPr>
              <w:keepNext w:val="0"/>
              <w:keepLines w:val="0"/>
              <w:pageBreakBefore w:val="0"/>
              <w:widowControl w:val="0"/>
              <w:kinsoku/>
              <w:wordWrap/>
              <w:overflowPunct/>
              <w:topLinePunct/>
              <w:autoSpaceDE w:val="0"/>
              <w:autoSpaceDN/>
              <w:bidi w:val="0"/>
              <w:adjustRightInd w:val="0"/>
              <w:snapToGrid w:val="0"/>
              <w:spacing w:line="300" w:lineRule="exact"/>
              <w:ind w:right="0" w:rightChars="0" w:firstLine="0" w:firstLineChars="0"/>
              <w:jc w:val="both"/>
              <w:textAlignment w:val="auto"/>
              <w:outlineLvl w:val="9"/>
              <w:rPr>
                <w:rFonts w:hint="eastAsia" w:ascii="仿宋_GB2312" w:eastAsia="仿宋_GB2312"/>
                <w:sz w:val="24"/>
              </w:rPr>
            </w:pPr>
            <w:r>
              <w:rPr>
                <w:rFonts w:hint="eastAsia" w:ascii="仿宋_GB2312" w:eastAsia="仿宋_GB2312"/>
                <w:sz w:val="24"/>
                <w:lang w:eastAsia="zh-CN"/>
              </w:rPr>
              <w:t>安溪</w:t>
            </w:r>
            <w:r>
              <w:rPr>
                <w:rFonts w:hint="eastAsia" w:ascii="仿宋_GB2312" w:eastAsia="仿宋_GB2312"/>
                <w:sz w:val="24"/>
              </w:rPr>
              <w:t>生态环境局</w:t>
            </w:r>
            <w:r>
              <w:rPr>
                <w:rFonts w:hint="eastAsia" w:ascii="仿宋_GB2312" w:eastAsia="仿宋_GB2312"/>
                <w:sz w:val="24"/>
                <w:highlight w:val="none"/>
                <w:u w:val="none"/>
                <w:lang w:eastAsia="zh-CN"/>
              </w:rPr>
              <w:t>、县</w:t>
            </w:r>
            <w:r>
              <w:rPr>
                <w:rFonts w:hint="eastAsia" w:ascii="仿宋_GB2312" w:eastAsia="仿宋_GB2312"/>
                <w:sz w:val="24"/>
                <w:highlight w:val="none"/>
                <w:u w:val="none"/>
              </w:rPr>
              <w:t>农业农村局、</w:t>
            </w:r>
            <w:r>
              <w:rPr>
                <w:rFonts w:hint="eastAsia" w:ascii="仿宋_GB2312" w:eastAsia="仿宋_GB2312"/>
                <w:sz w:val="24"/>
              </w:rPr>
              <w:t>水利局</w:t>
            </w:r>
            <w:r>
              <w:rPr>
                <w:rFonts w:hint="eastAsia" w:ascii="仿宋_GB2312" w:eastAsia="仿宋_GB2312"/>
                <w:sz w:val="24"/>
                <w:lang w:eastAsia="zh-CN"/>
              </w:rPr>
              <w:t>、</w:t>
            </w:r>
            <w:r>
              <w:rPr>
                <w:rFonts w:hint="eastAsia" w:ascii="仿宋_GB2312" w:eastAsia="仿宋_GB2312"/>
                <w:sz w:val="24"/>
                <w:lang w:val="en-US" w:eastAsia="zh-CN"/>
              </w:rPr>
              <w:t>城管局</w:t>
            </w:r>
            <w:r>
              <w:rPr>
                <w:rFonts w:hint="eastAsia" w:ascii="仿宋_GB2312" w:eastAsia="仿宋_GB2312"/>
                <w:sz w:val="24"/>
              </w:rPr>
              <w:t>按职责分工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80" w:hRule="atLeast"/>
          <w:jc w:val="center"/>
        </w:trPr>
        <w:tc>
          <w:tcPr>
            <w:tcW w:w="1566" w:type="dxa"/>
            <w:vMerge w:val="restart"/>
            <w:vAlign w:val="center"/>
          </w:tcPr>
          <w:p>
            <w:pPr>
              <w:keepNext w:val="0"/>
              <w:keepLines w:val="0"/>
              <w:pageBreakBefore w:val="0"/>
              <w:widowControl w:val="0"/>
              <w:kinsoku/>
              <w:wordWrap/>
              <w:overflowPunct/>
              <w:autoSpaceDN/>
              <w:bidi w:val="0"/>
              <w:adjustRightInd w:val="0"/>
              <w:snapToGrid w:val="0"/>
              <w:spacing w:line="300" w:lineRule="exact"/>
              <w:ind w:right="0" w:rightChars="0" w:firstLine="0" w:firstLineChars="0"/>
              <w:jc w:val="both"/>
              <w:textAlignment w:val="auto"/>
              <w:outlineLvl w:val="9"/>
              <w:rPr>
                <w:rFonts w:ascii="楷体_GB2312" w:eastAsia="楷体_GB2312" w:cs="楷体_GB2312"/>
                <w:sz w:val="24"/>
              </w:rPr>
            </w:pPr>
            <w:r>
              <w:rPr>
                <w:rFonts w:hint="eastAsia" w:ascii="楷体_GB2312" w:eastAsia="楷体_GB2312" w:cs="楷体_GB2312"/>
                <w:b/>
                <w:sz w:val="24"/>
              </w:rPr>
              <w:t>（四）规范建设运维</w:t>
            </w:r>
          </w:p>
        </w:tc>
        <w:tc>
          <w:tcPr>
            <w:tcW w:w="9561" w:type="dxa"/>
            <w:vAlign w:val="center"/>
          </w:tcPr>
          <w:p>
            <w:pPr>
              <w:keepNext w:val="0"/>
              <w:keepLines w:val="0"/>
              <w:pageBreakBefore w:val="0"/>
              <w:widowControl w:val="0"/>
              <w:kinsoku/>
              <w:wordWrap/>
              <w:overflowPunct/>
              <w:topLinePunct/>
              <w:autoSpaceDE w:val="0"/>
              <w:autoSpaceDN/>
              <w:bidi w:val="0"/>
              <w:adjustRightInd w:val="0"/>
              <w:snapToGrid w:val="0"/>
              <w:spacing w:line="300" w:lineRule="exact"/>
              <w:ind w:right="0" w:rightChars="0" w:firstLine="0" w:firstLineChars="0"/>
              <w:jc w:val="both"/>
              <w:textAlignment w:val="auto"/>
              <w:outlineLvl w:val="9"/>
              <w:rPr>
                <w:rFonts w:hint="eastAsia" w:ascii="仿宋_GB2312" w:eastAsia="仿宋_GB2312"/>
                <w:sz w:val="24"/>
              </w:rPr>
            </w:pPr>
            <w:r>
              <w:rPr>
                <w:rFonts w:hint="eastAsia" w:ascii="仿宋_GB2312" w:eastAsia="仿宋_GB2312"/>
                <w:sz w:val="24"/>
                <w:lang w:val="en-US" w:eastAsia="zh-CN"/>
              </w:rPr>
              <w:t>9</w:t>
            </w:r>
            <w:r>
              <w:rPr>
                <w:rFonts w:hint="eastAsia" w:ascii="仿宋_GB2312" w:eastAsia="仿宋_GB2312"/>
                <w:sz w:val="24"/>
              </w:rPr>
              <w:t>.做好</w:t>
            </w:r>
            <w:r>
              <w:rPr>
                <w:rFonts w:hint="eastAsia" w:ascii="仿宋_GB2312" w:eastAsia="仿宋_GB2312"/>
                <w:sz w:val="24"/>
                <w:lang w:val="en-US" w:eastAsia="zh-CN"/>
              </w:rPr>
              <w:t>项目</w:t>
            </w:r>
            <w:r>
              <w:rPr>
                <w:rFonts w:hint="eastAsia" w:ascii="仿宋_GB2312" w:eastAsia="仿宋_GB2312"/>
                <w:sz w:val="24"/>
              </w:rPr>
              <w:t>前期工作。项目业主要选择经验丰富、有相应资质、熟悉农村情况的设计单位逐村逐户现场踏勘、合理设计。在踏勘、设计过程中，各地要坚持“修复一批、改造一批、新建一批、淘汰一批”，综合考虑修复和改造成本，优先利用已建厂站及管网。以县为单位，逐村确定厂站选址，绘制勘测定界图，统一上报调整用地性质，成熟一批、上报一批。以县为单位，将治理项目整体打包、统一报批相关审批手续，支持采取容缺受理等措施，依法优化项目审批事项。</w:t>
            </w:r>
          </w:p>
        </w:tc>
        <w:tc>
          <w:tcPr>
            <w:tcW w:w="2809" w:type="dxa"/>
            <w:vAlign w:val="center"/>
          </w:tcPr>
          <w:p>
            <w:pPr>
              <w:keepNext w:val="0"/>
              <w:keepLines w:val="0"/>
              <w:pageBreakBefore w:val="0"/>
              <w:widowControl w:val="0"/>
              <w:kinsoku/>
              <w:wordWrap/>
              <w:overflowPunct/>
              <w:topLinePunct/>
              <w:autoSpaceDE w:val="0"/>
              <w:autoSpaceDN/>
              <w:bidi w:val="0"/>
              <w:adjustRightInd w:val="0"/>
              <w:snapToGrid w:val="0"/>
              <w:spacing w:line="300" w:lineRule="exact"/>
              <w:ind w:right="0" w:rightChars="0" w:firstLine="0" w:firstLineChars="0"/>
              <w:jc w:val="both"/>
              <w:textAlignment w:val="auto"/>
              <w:outlineLvl w:val="9"/>
              <w:rPr>
                <w:rFonts w:hint="eastAsia" w:ascii="仿宋_GB2312" w:eastAsia="仿宋_GB2312"/>
                <w:sz w:val="24"/>
              </w:rPr>
            </w:pPr>
            <w:r>
              <w:rPr>
                <w:rFonts w:hint="eastAsia" w:ascii="仿宋_GB2312" w:eastAsia="仿宋_GB2312"/>
                <w:sz w:val="24"/>
                <w:lang w:eastAsia="zh-CN"/>
              </w:rPr>
              <w:t>安溪</w:t>
            </w:r>
            <w:r>
              <w:rPr>
                <w:rFonts w:hint="eastAsia" w:ascii="仿宋_GB2312" w:eastAsia="仿宋_GB2312"/>
                <w:sz w:val="24"/>
              </w:rPr>
              <w:t>生态环境局、</w:t>
            </w:r>
            <w:r>
              <w:rPr>
                <w:rFonts w:hint="eastAsia" w:ascii="仿宋_GB2312" w:eastAsia="仿宋_GB2312"/>
                <w:sz w:val="24"/>
                <w:lang w:eastAsia="zh-CN"/>
              </w:rPr>
              <w:t>县资源</w:t>
            </w:r>
            <w:r>
              <w:rPr>
                <w:rFonts w:hint="eastAsia" w:ascii="仿宋_GB2312" w:eastAsia="仿宋_GB2312"/>
                <w:sz w:val="24"/>
              </w:rPr>
              <w:t>局、发改</w:t>
            </w:r>
            <w:r>
              <w:rPr>
                <w:rFonts w:hint="eastAsia" w:ascii="仿宋_GB2312" w:eastAsia="仿宋_GB2312"/>
                <w:sz w:val="24"/>
                <w:lang w:eastAsia="zh-CN"/>
              </w:rPr>
              <w:t>局</w:t>
            </w:r>
            <w:r>
              <w:rPr>
                <w:rFonts w:hint="eastAsia" w:ascii="仿宋_GB2312" w:eastAsia="仿宋_GB2312"/>
                <w:sz w:val="24"/>
              </w:rPr>
              <w:t>、城管局等按职责分工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02" w:hRule="atLeast"/>
          <w:jc w:val="center"/>
        </w:trPr>
        <w:tc>
          <w:tcPr>
            <w:tcW w:w="1566" w:type="dxa"/>
            <w:vMerge w:val="continue"/>
            <w:vAlign w:val="center"/>
          </w:tcPr>
          <w:p>
            <w:pPr>
              <w:keepNext w:val="0"/>
              <w:keepLines w:val="0"/>
              <w:pageBreakBefore w:val="0"/>
              <w:widowControl w:val="0"/>
              <w:kinsoku/>
              <w:wordWrap/>
              <w:overflowPunct/>
              <w:autoSpaceDN/>
              <w:bidi w:val="0"/>
              <w:spacing w:line="300" w:lineRule="exact"/>
              <w:ind w:right="0" w:rightChars="0" w:firstLine="0" w:firstLineChars="0"/>
              <w:jc w:val="both"/>
              <w:textAlignment w:val="auto"/>
              <w:outlineLvl w:val="9"/>
            </w:pPr>
          </w:p>
        </w:tc>
        <w:tc>
          <w:tcPr>
            <w:tcW w:w="9561" w:type="dxa"/>
            <w:vAlign w:val="center"/>
          </w:tcPr>
          <w:p>
            <w:pPr>
              <w:keepNext w:val="0"/>
              <w:keepLines w:val="0"/>
              <w:pageBreakBefore w:val="0"/>
              <w:widowControl w:val="0"/>
              <w:kinsoku/>
              <w:wordWrap/>
              <w:overflowPunct/>
              <w:topLinePunct/>
              <w:autoSpaceDE w:val="0"/>
              <w:autoSpaceDN/>
              <w:bidi w:val="0"/>
              <w:adjustRightInd w:val="0"/>
              <w:snapToGrid w:val="0"/>
              <w:spacing w:line="300" w:lineRule="exact"/>
              <w:ind w:right="0" w:rightChars="0" w:firstLine="0" w:firstLineChars="0"/>
              <w:jc w:val="both"/>
              <w:textAlignment w:val="auto"/>
              <w:outlineLvl w:val="9"/>
              <w:rPr>
                <w:rFonts w:hint="eastAsia" w:ascii="仿宋_GB2312" w:eastAsia="仿宋_GB2312"/>
                <w:sz w:val="24"/>
              </w:rPr>
            </w:pPr>
            <w:r>
              <w:rPr>
                <w:rFonts w:hint="eastAsia" w:ascii="仿宋_GB2312" w:eastAsia="仿宋_GB2312"/>
                <w:sz w:val="24"/>
                <w:lang w:val="en-US" w:eastAsia="zh-CN"/>
              </w:rPr>
              <w:t>10</w:t>
            </w:r>
            <w:r>
              <w:rPr>
                <w:rFonts w:hint="eastAsia" w:ascii="仿宋_GB2312" w:eastAsia="仿宋_GB2312"/>
                <w:sz w:val="24"/>
              </w:rPr>
              <w:t>.规范工程建设。各地要坚持“一次建设、长久使用”，精心组织施工、确保工程质量。项目业主对工程质量负责，严格确定选材的质量标准、技术参数和使用范围，污水处理设施及管网等主要建设材料，以县为单位，统一招标采购。</w:t>
            </w:r>
            <w:r>
              <w:rPr>
                <w:rFonts w:hint="eastAsia" w:ascii="仿宋_GB2312" w:eastAsia="仿宋_GB2312"/>
                <w:sz w:val="24"/>
                <w:lang w:val="en-US" w:eastAsia="zh-CN"/>
              </w:rPr>
              <w:t>鼓励</w:t>
            </w:r>
            <w:r>
              <w:rPr>
                <w:rFonts w:hint="eastAsia" w:ascii="仿宋_GB2312" w:eastAsia="仿宋_GB2312"/>
                <w:sz w:val="24"/>
              </w:rPr>
              <w:t>建设过程聘请专业监理单位进行监理。工程质量监管由县人民政府负责，对违规违法的勘察、设计、施工、监理等单位依法依规进行处罚，其中责令停业整顿、降低资质等级和吊销资质证书的行政处罚由颁发该资质证书的机关作出决定。项目业主应及时</w:t>
            </w:r>
            <w:r>
              <w:rPr>
                <w:rFonts w:hint="eastAsia" w:ascii="仿宋_GB2312" w:eastAsia="仿宋_GB2312"/>
                <w:sz w:val="24"/>
                <w:lang w:val="en-US" w:eastAsia="zh-CN"/>
              </w:rPr>
              <w:t>申请</w:t>
            </w:r>
            <w:r>
              <w:rPr>
                <w:rFonts w:hint="eastAsia" w:ascii="仿宋_GB2312" w:eastAsia="仿宋_GB2312"/>
                <w:sz w:val="24"/>
              </w:rPr>
              <w:t>项目工程竣工及环保等验收，可根据建设进度分批、分期组织开展。实行“一项目一档案”，存档备查。</w:t>
            </w:r>
          </w:p>
        </w:tc>
        <w:tc>
          <w:tcPr>
            <w:tcW w:w="2809" w:type="dxa"/>
            <w:vAlign w:val="center"/>
          </w:tcPr>
          <w:p>
            <w:pPr>
              <w:keepNext w:val="0"/>
              <w:keepLines w:val="0"/>
              <w:pageBreakBefore w:val="0"/>
              <w:widowControl w:val="0"/>
              <w:kinsoku/>
              <w:wordWrap/>
              <w:overflowPunct/>
              <w:topLinePunct/>
              <w:autoSpaceDE w:val="0"/>
              <w:autoSpaceDN/>
              <w:bidi w:val="0"/>
              <w:adjustRightInd w:val="0"/>
              <w:snapToGrid w:val="0"/>
              <w:spacing w:line="300" w:lineRule="exact"/>
              <w:ind w:right="0" w:rightChars="0" w:firstLine="0" w:firstLineChars="0"/>
              <w:jc w:val="both"/>
              <w:textAlignment w:val="auto"/>
              <w:outlineLvl w:val="9"/>
              <w:rPr>
                <w:rFonts w:hint="eastAsia" w:ascii="仿宋_GB2312" w:eastAsia="仿宋_GB2312"/>
                <w:sz w:val="24"/>
              </w:rPr>
            </w:pPr>
            <w:r>
              <w:rPr>
                <w:rFonts w:hint="eastAsia" w:ascii="仿宋_GB2312" w:eastAsia="仿宋_GB2312"/>
                <w:sz w:val="24"/>
                <w:lang w:eastAsia="zh-CN"/>
              </w:rPr>
              <w:t>县</w:t>
            </w:r>
            <w:r>
              <w:rPr>
                <w:rFonts w:hint="eastAsia" w:ascii="仿宋_GB2312" w:eastAsia="仿宋_GB2312"/>
                <w:sz w:val="24"/>
              </w:rPr>
              <w:t>住建局</w:t>
            </w:r>
            <w:r>
              <w:rPr>
                <w:rFonts w:hint="eastAsia" w:ascii="仿宋_GB2312" w:eastAsia="仿宋_GB2312"/>
                <w:sz w:val="24"/>
                <w:lang w:eastAsia="zh-CN"/>
              </w:rPr>
              <w:t>、安溪</w:t>
            </w:r>
            <w:r>
              <w:rPr>
                <w:rFonts w:hint="eastAsia" w:ascii="仿宋_GB2312" w:eastAsia="仿宋_GB2312"/>
                <w:sz w:val="24"/>
              </w:rPr>
              <w:t>生态环境局</w:t>
            </w:r>
            <w:r>
              <w:rPr>
                <w:rFonts w:hint="eastAsia" w:ascii="仿宋_GB2312" w:eastAsia="仿宋_GB2312"/>
                <w:sz w:val="24"/>
                <w:lang w:eastAsia="zh-CN"/>
              </w:rPr>
              <w:t>、</w:t>
            </w:r>
            <w:r>
              <w:rPr>
                <w:rFonts w:hint="eastAsia" w:ascii="仿宋_GB2312" w:eastAsia="仿宋_GB2312"/>
                <w:sz w:val="24"/>
                <w:lang w:val="en-US" w:eastAsia="zh-CN"/>
              </w:rPr>
              <w:t>城管局</w:t>
            </w:r>
            <w:r>
              <w:rPr>
                <w:rFonts w:hint="eastAsia" w:ascii="仿宋_GB2312" w:eastAsia="仿宋_GB2312"/>
                <w:sz w:val="24"/>
              </w:rPr>
              <w:t>按职责分工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61" w:hRule="atLeast"/>
          <w:jc w:val="center"/>
        </w:trPr>
        <w:tc>
          <w:tcPr>
            <w:tcW w:w="1566" w:type="dxa"/>
            <w:vMerge w:val="continue"/>
            <w:vAlign w:val="center"/>
          </w:tcPr>
          <w:p>
            <w:pPr>
              <w:keepNext w:val="0"/>
              <w:keepLines w:val="0"/>
              <w:pageBreakBefore w:val="0"/>
              <w:widowControl w:val="0"/>
              <w:kinsoku/>
              <w:wordWrap/>
              <w:overflowPunct/>
              <w:autoSpaceDN/>
              <w:bidi w:val="0"/>
              <w:spacing w:line="300" w:lineRule="exact"/>
              <w:ind w:right="0" w:rightChars="0" w:firstLine="0" w:firstLineChars="0"/>
              <w:jc w:val="both"/>
              <w:textAlignment w:val="auto"/>
              <w:outlineLvl w:val="9"/>
            </w:pPr>
          </w:p>
        </w:tc>
        <w:tc>
          <w:tcPr>
            <w:tcW w:w="9561" w:type="dxa"/>
            <w:vAlign w:val="center"/>
          </w:tcPr>
          <w:p>
            <w:pPr>
              <w:keepNext w:val="0"/>
              <w:keepLines w:val="0"/>
              <w:pageBreakBefore w:val="0"/>
              <w:widowControl w:val="0"/>
              <w:kinsoku/>
              <w:wordWrap/>
              <w:overflowPunct/>
              <w:topLinePunct/>
              <w:autoSpaceDE w:val="0"/>
              <w:autoSpaceDN/>
              <w:bidi w:val="0"/>
              <w:adjustRightInd w:val="0"/>
              <w:snapToGrid w:val="0"/>
              <w:spacing w:line="300" w:lineRule="exact"/>
              <w:ind w:right="0" w:rightChars="0" w:firstLine="0" w:firstLineChars="0"/>
              <w:jc w:val="both"/>
              <w:textAlignment w:val="auto"/>
              <w:outlineLvl w:val="9"/>
              <w:rPr>
                <w:rFonts w:hint="eastAsia" w:ascii="仿宋_GB2312" w:eastAsia="仿宋_GB2312"/>
                <w:sz w:val="24"/>
              </w:rPr>
            </w:pPr>
            <w:r>
              <w:rPr>
                <w:rFonts w:hint="eastAsia" w:ascii="仿宋_GB2312" w:eastAsia="仿宋_GB2312"/>
                <w:sz w:val="24"/>
                <w:lang w:val="en-US" w:eastAsia="zh-CN"/>
              </w:rPr>
              <w:t>11</w:t>
            </w:r>
            <w:r>
              <w:rPr>
                <w:rFonts w:hint="eastAsia" w:ascii="仿宋_GB2312" w:eastAsia="仿宋_GB2312"/>
                <w:sz w:val="24"/>
              </w:rPr>
              <w:t>.落实日常运维。承担日常运维的单位要成立专班、指派专人，对处理设施及管网进行日常养护、定期巡查。按要求分级分类安装在线监测或监控设施。定期开展水质检测。发现问题要及时妥善处理，确保污水有效收集、设施正常运行、出水水质达标，鼓励运用5G传输、大数据、物联网技术，开展智慧化管理，实现无人值守、远程监控，提高管理效能、降低运维成本。</w:t>
            </w:r>
          </w:p>
        </w:tc>
        <w:tc>
          <w:tcPr>
            <w:tcW w:w="2809" w:type="dxa"/>
            <w:vAlign w:val="center"/>
          </w:tcPr>
          <w:p>
            <w:pPr>
              <w:keepNext w:val="0"/>
              <w:keepLines w:val="0"/>
              <w:pageBreakBefore w:val="0"/>
              <w:widowControl w:val="0"/>
              <w:kinsoku/>
              <w:wordWrap/>
              <w:overflowPunct/>
              <w:topLinePunct/>
              <w:autoSpaceDE w:val="0"/>
              <w:autoSpaceDN/>
              <w:bidi w:val="0"/>
              <w:adjustRightInd w:val="0"/>
              <w:snapToGrid w:val="0"/>
              <w:spacing w:line="300" w:lineRule="exact"/>
              <w:ind w:right="0" w:rightChars="0" w:firstLine="0" w:firstLineChars="0"/>
              <w:jc w:val="both"/>
              <w:textAlignment w:val="auto"/>
              <w:outlineLvl w:val="9"/>
              <w:rPr>
                <w:rFonts w:hint="eastAsia" w:ascii="仿宋_GB2312" w:eastAsia="仿宋_GB2312"/>
                <w:sz w:val="24"/>
              </w:rPr>
            </w:pPr>
            <w:r>
              <w:rPr>
                <w:rFonts w:hint="eastAsia" w:ascii="仿宋_GB2312" w:eastAsia="仿宋_GB2312"/>
                <w:sz w:val="24"/>
                <w:lang w:eastAsia="zh-CN"/>
              </w:rPr>
              <w:t>安溪</w:t>
            </w:r>
            <w:r>
              <w:rPr>
                <w:rFonts w:hint="eastAsia" w:ascii="仿宋_GB2312" w:eastAsia="仿宋_GB2312"/>
                <w:sz w:val="24"/>
              </w:rPr>
              <w:t>生态环境局牵头，</w:t>
            </w:r>
            <w:r>
              <w:rPr>
                <w:rFonts w:hint="eastAsia" w:ascii="仿宋_GB2312" w:eastAsia="仿宋_GB2312"/>
                <w:sz w:val="24"/>
                <w:lang w:eastAsia="zh-CN"/>
              </w:rPr>
              <w:t>县</w:t>
            </w:r>
            <w:r>
              <w:rPr>
                <w:rFonts w:hint="eastAsia" w:ascii="仿宋_GB2312" w:eastAsia="仿宋_GB2312"/>
                <w:sz w:val="24"/>
              </w:rPr>
              <w:t>城管局配合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40" w:hRule="atLeast"/>
          <w:jc w:val="center"/>
        </w:trPr>
        <w:tc>
          <w:tcPr>
            <w:tcW w:w="1566" w:type="dxa"/>
            <w:vMerge w:val="restart"/>
            <w:vAlign w:val="center"/>
          </w:tcPr>
          <w:p>
            <w:pPr>
              <w:keepNext w:val="0"/>
              <w:keepLines w:val="0"/>
              <w:pageBreakBefore w:val="0"/>
              <w:widowControl w:val="0"/>
              <w:kinsoku/>
              <w:wordWrap/>
              <w:overflowPunct/>
              <w:autoSpaceDN/>
              <w:bidi w:val="0"/>
              <w:adjustRightInd w:val="0"/>
              <w:snapToGrid w:val="0"/>
              <w:spacing w:line="300" w:lineRule="exact"/>
              <w:ind w:right="0" w:rightChars="0" w:firstLine="0" w:firstLineChars="0"/>
              <w:jc w:val="both"/>
              <w:textAlignment w:val="auto"/>
              <w:outlineLvl w:val="9"/>
              <w:rPr>
                <w:rFonts w:ascii="楷体_GB2312" w:eastAsia="楷体_GB2312" w:cs="楷体_GB2312"/>
                <w:b/>
                <w:sz w:val="24"/>
              </w:rPr>
            </w:pPr>
            <w:r>
              <w:rPr>
                <w:rFonts w:hint="eastAsia" w:ascii="楷体_GB2312" w:eastAsia="楷体_GB2312" w:cs="楷体_GB2312"/>
                <w:b/>
                <w:sz w:val="24"/>
              </w:rPr>
              <w:t>（五）提升治理水平</w:t>
            </w:r>
          </w:p>
        </w:tc>
        <w:tc>
          <w:tcPr>
            <w:tcW w:w="9561" w:type="dxa"/>
            <w:vAlign w:val="center"/>
          </w:tcPr>
          <w:p>
            <w:pPr>
              <w:keepNext w:val="0"/>
              <w:keepLines w:val="0"/>
              <w:pageBreakBefore w:val="0"/>
              <w:widowControl w:val="0"/>
              <w:kinsoku/>
              <w:wordWrap/>
              <w:overflowPunct/>
              <w:topLinePunct/>
              <w:autoSpaceDE w:val="0"/>
              <w:autoSpaceDN/>
              <w:bidi w:val="0"/>
              <w:adjustRightInd w:val="0"/>
              <w:snapToGrid w:val="0"/>
              <w:spacing w:line="300" w:lineRule="exact"/>
              <w:ind w:right="0" w:rightChars="0" w:firstLine="0" w:firstLineChars="0"/>
              <w:jc w:val="both"/>
              <w:textAlignment w:val="auto"/>
              <w:outlineLvl w:val="9"/>
              <w:rPr>
                <w:rFonts w:hint="eastAsia" w:ascii="仿宋_GB2312" w:eastAsia="仿宋_GB2312"/>
                <w:sz w:val="24"/>
              </w:rPr>
            </w:pPr>
            <w:r>
              <w:rPr>
                <w:rFonts w:hint="eastAsia" w:ascii="仿宋_GB2312" w:eastAsia="仿宋_GB2312"/>
                <w:sz w:val="24"/>
                <w:lang w:val="en-US" w:eastAsia="zh-CN"/>
              </w:rPr>
              <w:t>12</w:t>
            </w:r>
            <w:r>
              <w:rPr>
                <w:rFonts w:hint="eastAsia" w:ascii="仿宋_GB2312" w:eastAsia="仿宋_GB2312"/>
                <w:sz w:val="24"/>
              </w:rPr>
              <w:t>.加强协同治理。坚持“规划、设计、建设、运维”统筹考虑，强化部门协作，协同推进农村生活污水治理。农村道路、连片住宅、河道整治、景观工程等镇村项目建设，应同步规划建设农村生活污水处理设施及管网</w:t>
            </w:r>
            <w:r>
              <w:rPr>
                <w:rFonts w:hint="eastAsia" w:ascii="仿宋_GB2312" w:eastAsia="仿宋_GB2312"/>
                <w:sz w:val="24"/>
                <w:lang w:eastAsia="zh-CN"/>
              </w:rPr>
              <w:t>，相关设施及管网，由所在乡镇同步组织建设</w:t>
            </w:r>
            <w:r>
              <w:rPr>
                <w:rFonts w:hint="eastAsia" w:ascii="仿宋_GB2312" w:eastAsia="仿宋_GB2312"/>
                <w:sz w:val="24"/>
              </w:rPr>
              <w:t>。将农村生活污水治理与农村人居环境综合整治、山水林田湖草系统治理、流域综合治理等捆绑打包、整体治理；与城镇（含乡镇）污水厂网建设有效衔接，加快延伸城镇（含乡镇）污水处理厂管网；与农村户厕改造协同推进，将建设标准三格化粪池、预留化粪池出水口至污水管预留口用地等内容纳入农房建设图集。</w:t>
            </w:r>
          </w:p>
        </w:tc>
        <w:tc>
          <w:tcPr>
            <w:tcW w:w="2809" w:type="dxa"/>
            <w:vAlign w:val="center"/>
          </w:tcPr>
          <w:p>
            <w:pPr>
              <w:keepNext w:val="0"/>
              <w:keepLines w:val="0"/>
              <w:pageBreakBefore w:val="0"/>
              <w:widowControl w:val="0"/>
              <w:kinsoku/>
              <w:wordWrap/>
              <w:overflowPunct/>
              <w:topLinePunct/>
              <w:autoSpaceDE w:val="0"/>
              <w:autoSpaceDN/>
              <w:bidi w:val="0"/>
              <w:adjustRightInd w:val="0"/>
              <w:snapToGrid w:val="0"/>
              <w:spacing w:line="300" w:lineRule="exact"/>
              <w:ind w:right="0" w:rightChars="0" w:firstLine="0" w:firstLineChars="0"/>
              <w:jc w:val="both"/>
              <w:textAlignment w:val="auto"/>
              <w:outlineLvl w:val="9"/>
              <w:rPr>
                <w:rFonts w:hint="eastAsia" w:ascii="仿宋_GB2312" w:eastAsia="仿宋_GB2312"/>
                <w:sz w:val="24"/>
                <w:lang w:val="en-US" w:eastAsia="zh-CN"/>
              </w:rPr>
            </w:pPr>
            <w:r>
              <w:rPr>
                <w:rFonts w:hint="eastAsia" w:ascii="仿宋_GB2312" w:eastAsia="仿宋_GB2312"/>
                <w:sz w:val="24"/>
                <w:lang w:eastAsia="zh-CN"/>
              </w:rPr>
              <w:t>安溪</w:t>
            </w:r>
            <w:r>
              <w:rPr>
                <w:rFonts w:hint="eastAsia" w:ascii="仿宋_GB2312" w:eastAsia="仿宋_GB2312"/>
                <w:sz w:val="24"/>
              </w:rPr>
              <w:t>生态环境局</w:t>
            </w:r>
            <w:r>
              <w:rPr>
                <w:rFonts w:hint="eastAsia" w:ascii="仿宋_GB2312" w:eastAsia="仿宋_GB2312" w:cs="Times New Roman"/>
                <w:sz w:val="24"/>
              </w:rPr>
              <w:t>牵头，</w:t>
            </w:r>
            <w:r>
              <w:rPr>
                <w:rFonts w:hint="eastAsia" w:ascii="仿宋_GB2312" w:eastAsia="仿宋_GB2312" w:cs="Times New Roman"/>
                <w:sz w:val="24"/>
                <w:lang w:eastAsia="zh-CN"/>
              </w:rPr>
              <w:t>县</w:t>
            </w:r>
            <w:r>
              <w:rPr>
                <w:rFonts w:hint="eastAsia" w:ascii="仿宋_GB2312" w:eastAsia="仿宋_GB2312" w:cs="Times New Roman"/>
                <w:sz w:val="24"/>
              </w:rPr>
              <w:t>农业农村局、</w:t>
            </w:r>
            <w:r>
              <w:rPr>
                <w:rFonts w:hint="eastAsia" w:ascii="仿宋_GB2312" w:eastAsia="仿宋_GB2312" w:cs="Times New Roman"/>
                <w:sz w:val="24"/>
                <w:lang w:val="en-US" w:eastAsia="zh-CN"/>
              </w:rPr>
              <w:t>住建局、城管局、卫健局、</w:t>
            </w:r>
            <w:r>
              <w:rPr>
                <w:rFonts w:hint="eastAsia" w:ascii="仿宋_GB2312" w:eastAsia="仿宋_GB2312" w:cs="Times New Roman"/>
                <w:sz w:val="24"/>
              </w:rPr>
              <w:t>水利局</w:t>
            </w:r>
            <w:r>
              <w:rPr>
                <w:rFonts w:hint="eastAsia" w:ascii="仿宋_GB2312" w:eastAsia="仿宋_GB2312" w:cs="Times New Roman"/>
                <w:sz w:val="24"/>
                <w:lang w:val="en-US" w:eastAsia="zh-CN"/>
              </w:rPr>
              <w:t>配合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01" w:hRule="atLeast"/>
          <w:jc w:val="center"/>
        </w:trPr>
        <w:tc>
          <w:tcPr>
            <w:tcW w:w="1566" w:type="dxa"/>
            <w:vMerge w:val="continue"/>
            <w:vAlign w:val="center"/>
          </w:tcPr>
          <w:p>
            <w:pPr>
              <w:keepNext w:val="0"/>
              <w:keepLines w:val="0"/>
              <w:pageBreakBefore w:val="0"/>
              <w:widowControl w:val="0"/>
              <w:kinsoku/>
              <w:wordWrap/>
              <w:overflowPunct/>
              <w:autoSpaceDN/>
              <w:bidi w:val="0"/>
              <w:spacing w:line="300" w:lineRule="exact"/>
              <w:ind w:right="0" w:rightChars="0" w:firstLine="0" w:firstLineChars="0"/>
              <w:jc w:val="both"/>
              <w:textAlignment w:val="auto"/>
              <w:outlineLvl w:val="9"/>
            </w:pPr>
          </w:p>
        </w:tc>
        <w:tc>
          <w:tcPr>
            <w:tcW w:w="9561" w:type="dxa"/>
            <w:vAlign w:val="center"/>
          </w:tcPr>
          <w:p>
            <w:pPr>
              <w:keepNext w:val="0"/>
              <w:keepLines w:val="0"/>
              <w:pageBreakBefore w:val="0"/>
              <w:widowControl w:val="0"/>
              <w:kinsoku/>
              <w:wordWrap/>
              <w:overflowPunct/>
              <w:topLinePunct/>
              <w:autoSpaceDE w:val="0"/>
              <w:autoSpaceDN/>
              <w:bidi w:val="0"/>
              <w:adjustRightInd w:val="0"/>
              <w:snapToGrid w:val="0"/>
              <w:spacing w:line="300" w:lineRule="exact"/>
              <w:ind w:right="0" w:rightChars="0" w:firstLine="0" w:firstLineChars="0"/>
              <w:jc w:val="both"/>
              <w:textAlignment w:val="auto"/>
              <w:outlineLvl w:val="9"/>
              <w:rPr>
                <w:rFonts w:hint="eastAsia" w:ascii="仿宋_GB2312" w:eastAsia="仿宋_GB2312"/>
                <w:sz w:val="24"/>
                <w:lang w:eastAsia="zh-CN"/>
              </w:rPr>
            </w:pPr>
            <w:r>
              <w:rPr>
                <w:rFonts w:hint="eastAsia" w:ascii="仿宋_GB2312" w:eastAsia="仿宋_GB2312"/>
                <w:sz w:val="24"/>
                <w:lang w:val="en-US" w:eastAsia="zh-CN"/>
              </w:rPr>
              <w:t>13</w:t>
            </w:r>
            <w:r>
              <w:rPr>
                <w:rFonts w:hint="eastAsia" w:ascii="仿宋_GB2312" w:eastAsia="仿宋_GB2312"/>
                <w:sz w:val="24"/>
              </w:rPr>
              <w:t>.开展试点示范。探索农村生活污水治理县域一体化、建管一体化、城乡水务一体化</w:t>
            </w:r>
            <w:r>
              <w:rPr>
                <w:rFonts w:hint="eastAsia" w:ascii="仿宋_GB2312" w:eastAsia="仿宋_GB2312"/>
                <w:sz w:val="24"/>
                <w:lang w:eastAsia="zh-CN"/>
              </w:rPr>
              <w:t>，</w:t>
            </w:r>
            <w:r>
              <w:rPr>
                <w:rFonts w:hint="eastAsia" w:ascii="仿宋_GB2312" w:eastAsia="仿宋_GB2312"/>
                <w:sz w:val="24"/>
                <w:lang w:val="en-US" w:eastAsia="zh-CN"/>
              </w:rPr>
              <w:t>并在试点</w:t>
            </w:r>
            <w:r>
              <w:rPr>
                <w:rFonts w:hint="eastAsia" w:ascii="仿宋_GB2312" w:eastAsia="仿宋_GB2312"/>
                <w:sz w:val="24"/>
              </w:rPr>
              <w:t>乡镇推进农村生活污水治理尾水及污泥资源化利用、村庄人口潮汐现象治理适用模式、山区地区农村生活污水适用处理技术工艺等试点示范工程</w:t>
            </w:r>
            <w:r>
              <w:rPr>
                <w:rFonts w:hint="eastAsia" w:ascii="仿宋_GB2312" w:eastAsia="仿宋_GB2312"/>
                <w:sz w:val="24"/>
                <w:lang w:eastAsia="zh-CN"/>
              </w:rPr>
              <w:t>。</w:t>
            </w:r>
          </w:p>
        </w:tc>
        <w:tc>
          <w:tcPr>
            <w:tcW w:w="2809" w:type="dxa"/>
            <w:vAlign w:val="center"/>
          </w:tcPr>
          <w:p>
            <w:pPr>
              <w:keepNext w:val="0"/>
              <w:keepLines w:val="0"/>
              <w:pageBreakBefore w:val="0"/>
              <w:widowControl w:val="0"/>
              <w:kinsoku/>
              <w:wordWrap/>
              <w:overflowPunct/>
              <w:topLinePunct/>
              <w:autoSpaceDE w:val="0"/>
              <w:autoSpaceDN/>
              <w:bidi w:val="0"/>
              <w:adjustRightInd w:val="0"/>
              <w:snapToGrid w:val="0"/>
              <w:spacing w:line="300" w:lineRule="exact"/>
              <w:ind w:right="0" w:rightChars="0" w:firstLine="0" w:firstLineChars="0"/>
              <w:jc w:val="both"/>
              <w:textAlignment w:val="auto"/>
              <w:outlineLvl w:val="9"/>
              <w:rPr>
                <w:rFonts w:hint="eastAsia" w:ascii="仿宋_GB2312" w:eastAsia="仿宋_GB2312"/>
                <w:sz w:val="24"/>
              </w:rPr>
            </w:pPr>
            <w:r>
              <w:rPr>
                <w:rFonts w:hint="eastAsia" w:ascii="仿宋_GB2312" w:eastAsia="仿宋_GB2312"/>
                <w:sz w:val="24"/>
                <w:lang w:eastAsia="zh-CN"/>
              </w:rPr>
              <w:t>安溪</w:t>
            </w:r>
            <w:r>
              <w:rPr>
                <w:rFonts w:hint="eastAsia" w:ascii="仿宋_GB2312" w:eastAsia="仿宋_GB2312"/>
                <w:sz w:val="24"/>
              </w:rPr>
              <w:t>生态环境局牵头，</w:t>
            </w:r>
            <w:r>
              <w:rPr>
                <w:rFonts w:hint="eastAsia" w:ascii="仿宋_GB2312" w:eastAsia="仿宋_GB2312"/>
                <w:sz w:val="24"/>
                <w:lang w:eastAsia="zh-CN"/>
              </w:rPr>
              <w:t>县</w:t>
            </w:r>
            <w:r>
              <w:rPr>
                <w:rFonts w:hint="eastAsia" w:ascii="仿宋_GB2312" w:eastAsia="仿宋_GB2312"/>
                <w:sz w:val="24"/>
              </w:rPr>
              <w:t>城管局、水利局配合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566" w:type="dxa"/>
            <w:vMerge w:val="restart"/>
            <w:vAlign w:val="center"/>
          </w:tcPr>
          <w:p>
            <w:pPr>
              <w:keepNext w:val="0"/>
              <w:keepLines w:val="0"/>
              <w:pageBreakBefore w:val="0"/>
              <w:widowControl w:val="0"/>
              <w:kinsoku/>
              <w:wordWrap/>
              <w:overflowPunct/>
              <w:autoSpaceDN/>
              <w:bidi w:val="0"/>
              <w:adjustRightInd w:val="0"/>
              <w:snapToGrid w:val="0"/>
              <w:spacing w:line="300" w:lineRule="exact"/>
              <w:ind w:right="0" w:rightChars="0" w:firstLine="0" w:firstLineChars="0"/>
              <w:jc w:val="both"/>
              <w:textAlignment w:val="auto"/>
              <w:outlineLvl w:val="9"/>
              <w:rPr>
                <w:rFonts w:hint="eastAsia" w:ascii="楷体_GB2312" w:eastAsia="楷体_GB2312" w:cs="楷体_GB2312"/>
                <w:b/>
                <w:sz w:val="24"/>
              </w:rPr>
            </w:pPr>
            <w:r>
              <w:rPr>
                <w:rFonts w:hint="eastAsia" w:ascii="楷体_GB2312" w:eastAsia="楷体_GB2312" w:cs="楷体_GB2312"/>
                <w:b/>
                <w:sz w:val="24"/>
              </w:rPr>
              <w:t>（六）强化成效管理</w:t>
            </w:r>
          </w:p>
        </w:tc>
        <w:tc>
          <w:tcPr>
            <w:tcW w:w="9561" w:type="dxa"/>
            <w:vAlign w:val="center"/>
          </w:tcPr>
          <w:p>
            <w:pPr>
              <w:keepNext w:val="0"/>
              <w:keepLines w:val="0"/>
              <w:pageBreakBefore w:val="0"/>
              <w:widowControl w:val="0"/>
              <w:kinsoku/>
              <w:wordWrap/>
              <w:overflowPunct/>
              <w:topLinePunct/>
              <w:autoSpaceDE w:val="0"/>
              <w:autoSpaceDN/>
              <w:bidi w:val="0"/>
              <w:adjustRightInd w:val="0"/>
              <w:snapToGrid w:val="0"/>
              <w:spacing w:line="300" w:lineRule="exact"/>
              <w:ind w:right="0" w:rightChars="0" w:firstLine="0" w:firstLineChars="0"/>
              <w:jc w:val="both"/>
              <w:textAlignment w:val="auto"/>
              <w:outlineLvl w:val="9"/>
              <w:rPr>
                <w:rFonts w:hint="eastAsia" w:ascii="仿宋_GB2312" w:eastAsia="仿宋_GB2312"/>
                <w:sz w:val="24"/>
              </w:rPr>
            </w:pPr>
            <w:r>
              <w:rPr>
                <w:rFonts w:hint="eastAsia" w:ascii="仿宋_GB2312" w:eastAsia="仿宋_GB2312"/>
                <w:sz w:val="24"/>
                <w:lang w:val="en-US" w:eastAsia="zh-CN"/>
              </w:rPr>
              <w:t>14</w:t>
            </w:r>
            <w:r>
              <w:rPr>
                <w:rFonts w:hint="eastAsia" w:ascii="仿宋_GB2312" w:eastAsia="仿宋_GB2312"/>
                <w:sz w:val="24"/>
              </w:rPr>
              <w:t>.创新智慧监管模式。</w:t>
            </w:r>
            <w:r>
              <w:rPr>
                <w:rFonts w:hint="eastAsia" w:ascii="仿宋_GB2312" w:eastAsia="仿宋_GB2312" w:cs="Times New Roman"/>
                <w:sz w:val="24"/>
                <w:szCs w:val="24"/>
              </w:rPr>
              <w:t>统筹建设</w:t>
            </w:r>
            <w:r>
              <w:rPr>
                <w:rFonts w:hint="eastAsia" w:ascii="仿宋_GB2312" w:eastAsia="仿宋_GB2312" w:cs="Times New Roman"/>
                <w:sz w:val="24"/>
                <w:szCs w:val="24"/>
                <w:lang w:val="en-US" w:eastAsia="zh-CN"/>
              </w:rPr>
              <w:t>全市</w:t>
            </w:r>
            <w:r>
              <w:rPr>
                <w:rFonts w:hint="eastAsia" w:ascii="仿宋_GB2312" w:eastAsia="仿宋_GB2312" w:cs="Times New Roman"/>
                <w:sz w:val="24"/>
                <w:szCs w:val="24"/>
              </w:rPr>
              <w:t>农村生活污水治理智慧监管平台，实现任务在线调度管理、问题及时转办督办、整改限期落实反馈</w:t>
            </w:r>
            <w:r>
              <w:rPr>
                <w:rFonts w:hint="eastAsia" w:ascii="仿宋_GB2312" w:eastAsia="仿宋_GB2312" w:cs="Times New Roman"/>
                <w:sz w:val="24"/>
                <w:szCs w:val="24"/>
                <w:lang w:eastAsia="zh-CN"/>
              </w:rPr>
              <w:t>，</w:t>
            </w:r>
            <w:r>
              <w:rPr>
                <w:rFonts w:hint="eastAsia" w:ascii="仿宋_GB2312" w:eastAsia="仿宋_GB2312"/>
                <w:sz w:val="24"/>
              </w:rPr>
              <w:t>提高行政效能、减轻行政负担，打通农村生活污水治理监管“最后一公里”。</w:t>
            </w:r>
          </w:p>
        </w:tc>
        <w:tc>
          <w:tcPr>
            <w:tcW w:w="2809" w:type="dxa"/>
            <w:vAlign w:val="center"/>
          </w:tcPr>
          <w:p>
            <w:pPr>
              <w:keepNext w:val="0"/>
              <w:keepLines w:val="0"/>
              <w:pageBreakBefore w:val="0"/>
              <w:widowControl w:val="0"/>
              <w:kinsoku/>
              <w:wordWrap/>
              <w:overflowPunct/>
              <w:topLinePunct/>
              <w:autoSpaceDE w:val="0"/>
              <w:autoSpaceDN/>
              <w:bidi w:val="0"/>
              <w:adjustRightInd w:val="0"/>
              <w:snapToGrid w:val="0"/>
              <w:spacing w:line="300" w:lineRule="exact"/>
              <w:ind w:right="0" w:rightChars="0" w:firstLine="0" w:firstLineChars="0"/>
              <w:jc w:val="both"/>
              <w:textAlignment w:val="auto"/>
              <w:outlineLvl w:val="9"/>
              <w:rPr>
                <w:rFonts w:hint="eastAsia" w:ascii="仿宋_GB2312" w:eastAsia="仿宋_GB2312"/>
                <w:sz w:val="24"/>
              </w:rPr>
            </w:pPr>
            <w:r>
              <w:rPr>
                <w:rFonts w:hint="eastAsia" w:ascii="仿宋_GB2312" w:eastAsia="仿宋_GB2312"/>
                <w:sz w:val="24"/>
                <w:lang w:eastAsia="zh-CN"/>
              </w:rPr>
              <w:t>安溪</w:t>
            </w:r>
            <w:r>
              <w:rPr>
                <w:rFonts w:hint="eastAsia" w:ascii="仿宋_GB2312" w:eastAsia="仿宋_GB2312"/>
                <w:sz w:val="24"/>
              </w:rPr>
              <w:t>生态环境局牵头，</w:t>
            </w:r>
            <w:r>
              <w:rPr>
                <w:rFonts w:hint="eastAsia" w:ascii="仿宋_GB2312" w:eastAsia="仿宋_GB2312"/>
                <w:sz w:val="24"/>
                <w:lang w:eastAsia="zh-CN"/>
              </w:rPr>
              <w:t>县</w:t>
            </w:r>
            <w:r>
              <w:rPr>
                <w:rFonts w:hint="eastAsia" w:ascii="仿宋_GB2312" w:eastAsia="仿宋_GB2312"/>
                <w:sz w:val="24"/>
              </w:rPr>
              <w:t>城管局配合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68" w:hRule="atLeast"/>
          <w:jc w:val="center"/>
        </w:trPr>
        <w:tc>
          <w:tcPr>
            <w:tcW w:w="1566" w:type="dxa"/>
            <w:vMerge w:val="continue"/>
            <w:vAlign w:val="center"/>
          </w:tcPr>
          <w:p>
            <w:pPr>
              <w:keepNext w:val="0"/>
              <w:keepLines w:val="0"/>
              <w:pageBreakBefore w:val="0"/>
              <w:widowControl w:val="0"/>
              <w:kinsoku/>
              <w:wordWrap/>
              <w:overflowPunct/>
              <w:autoSpaceDN/>
              <w:bidi w:val="0"/>
              <w:spacing w:line="300" w:lineRule="exact"/>
              <w:ind w:right="0" w:rightChars="0" w:firstLine="0" w:firstLineChars="0"/>
              <w:jc w:val="both"/>
              <w:textAlignment w:val="auto"/>
              <w:outlineLvl w:val="9"/>
            </w:pPr>
          </w:p>
        </w:tc>
        <w:tc>
          <w:tcPr>
            <w:tcW w:w="9561" w:type="dxa"/>
            <w:vAlign w:val="center"/>
          </w:tcPr>
          <w:p>
            <w:pPr>
              <w:keepNext w:val="0"/>
              <w:keepLines w:val="0"/>
              <w:pageBreakBefore w:val="0"/>
              <w:widowControl w:val="0"/>
              <w:kinsoku/>
              <w:wordWrap/>
              <w:overflowPunct/>
              <w:topLinePunct/>
              <w:autoSpaceDE w:val="0"/>
              <w:autoSpaceDN/>
              <w:bidi w:val="0"/>
              <w:adjustRightInd w:val="0"/>
              <w:snapToGrid w:val="0"/>
              <w:spacing w:line="300" w:lineRule="exact"/>
              <w:ind w:right="0" w:rightChars="0" w:firstLine="0" w:firstLineChars="0"/>
              <w:jc w:val="both"/>
              <w:textAlignment w:val="auto"/>
              <w:outlineLvl w:val="9"/>
              <w:rPr>
                <w:rFonts w:hint="eastAsia" w:ascii="仿宋_GB2312" w:eastAsia="仿宋_GB2312"/>
                <w:sz w:val="24"/>
              </w:rPr>
            </w:pPr>
            <w:r>
              <w:rPr>
                <w:rFonts w:hint="eastAsia" w:ascii="仿宋_GB2312" w:eastAsia="仿宋_GB2312"/>
                <w:sz w:val="24"/>
                <w:lang w:val="en-US" w:eastAsia="zh-CN"/>
              </w:rPr>
              <w:t>15</w:t>
            </w:r>
            <w:r>
              <w:rPr>
                <w:rFonts w:hint="eastAsia" w:ascii="仿宋_GB2312" w:eastAsia="仿宋_GB2312"/>
                <w:sz w:val="24"/>
              </w:rPr>
              <w:t>.建立第三方评估制度。各地要强化开展成效评估、常态化明察暗访，可通过购买服务等方式委托第三方</w:t>
            </w:r>
            <w:r>
              <w:rPr>
                <w:rFonts w:hint="eastAsia" w:ascii="仿宋_GB2312" w:eastAsia="仿宋_GB2312"/>
                <w:sz w:val="24"/>
                <w:lang w:val="en-US" w:eastAsia="zh-CN"/>
              </w:rPr>
              <w:t>评估</w:t>
            </w:r>
            <w:r>
              <w:rPr>
                <w:rFonts w:hint="eastAsia" w:ascii="仿宋_GB2312" w:eastAsia="仿宋_GB2312"/>
                <w:sz w:val="24"/>
              </w:rPr>
              <w:t>。对设计、建设、运维企业履约情况纳入企业信用评价，结果上传全国信用信息共享平台，营造诚实守信的农村生活污水治理市场环境。</w:t>
            </w:r>
          </w:p>
        </w:tc>
        <w:tc>
          <w:tcPr>
            <w:tcW w:w="2809" w:type="dxa"/>
            <w:vAlign w:val="center"/>
          </w:tcPr>
          <w:p>
            <w:pPr>
              <w:keepNext w:val="0"/>
              <w:keepLines w:val="0"/>
              <w:pageBreakBefore w:val="0"/>
              <w:widowControl w:val="0"/>
              <w:kinsoku/>
              <w:wordWrap/>
              <w:overflowPunct/>
              <w:topLinePunct/>
              <w:autoSpaceDE w:val="0"/>
              <w:autoSpaceDN/>
              <w:bidi w:val="0"/>
              <w:adjustRightInd w:val="0"/>
              <w:snapToGrid w:val="0"/>
              <w:spacing w:line="300" w:lineRule="exact"/>
              <w:ind w:right="0" w:rightChars="0" w:firstLine="0" w:firstLineChars="0"/>
              <w:jc w:val="both"/>
              <w:textAlignment w:val="auto"/>
              <w:outlineLvl w:val="9"/>
              <w:rPr>
                <w:rFonts w:hint="eastAsia" w:ascii="仿宋_GB2312" w:eastAsia="仿宋_GB2312"/>
                <w:sz w:val="24"/>
              </w:rPr>
            </w:pPr>
            <w:r>
              <w:rPr>
                <w:rFonts w:hint="eastAsia" w:ascii="仿宋_GB2312" w:eastAsia="仿宋_GB2312"/>
                <w:sz w:val="24"/>
                <w:lang w:eastAsia="zh-CN"/>
              </w:rPr>
              <w:t>安溪</w:t>
            </w:r>
            <w:r>
              <w:rPr>
                <w:rFonts w:hint="eastAsia" w:ascii="仿宋_GB2312" w:eastAsia="仿宋_GB2312"/>
                <w:sz w:val="24"/>
              </w:rPr>
              <w:t>生态环境局牵头，</w:t>
            </w:r>
            <w:r>
              <w:rPr>
                <w:rFonts w:hint="eastAsia" w:ascii="仿宋_GB2312" w:eastAsia="仿宋_GB2312"/>
                <w:sz w:val="24"/>
                <w:lang w:eastAsia="zh-CN"/>
              </w:rPr>
              <w:t>县</w:t>
            </w:r>
            <w:r>
              <w:rPr>
                <w:rFonts w:hint="eastAsia" w:ascii="仿宋_GB2312" w:eastAsia="仿宋_GB2312"/>
                <w:sz w:val="24"/>
              </w:rPr>
              <w:t>发改</w:t>
            </w:r>
            <w:r>
              <w:rPr>
                <w:rFonts w:hint="eastAsia" w:ascii="仿宋_GB2312" w:eastAsia="仿宋_GB2312"/>
                <w:sz w:val="24"/>
                <w:lang w:eastAsia="zh-CN"/>
              </w:rPr>
              <w:t>局</w:t>
            </w:r>
            <w:r>
              <w:rPr>
                <w:rFonts w:hint="eastAsia" w:ascii="仿宋_GB2312" w:eastAsia="仿宋_GB2312"/>
                <w:sz w:val="24"/>
              </w:rPr>
              <w:t>、农业农村局、</w:t>
            </w:r>
            <w:r>
              <w:rPr>
                <w:rFonts w:hint="eastAsia" w:ascii="仿宋_GB2312" w:eastAsia="仿宋_GB2312"/>
                <w:sz w:val="24"/>
                <w:lang w:val="en-US" w:eastAsia="zh-CN"/>
              </w:rPr>
              <w:t>城管</w:t>
            </w:r>
            <w:r>
              <w:rPr>
                <w:rFonts w:hint="eastAsia" w:ascii="仿宋_GB2312" w:eastAsia="仿宋_GB2312"/>
                <w:sz w:val="24"/>
              </w:rPr>
              <w:t>局配合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48" w:hRule="atLeast"/>
          <w:jc w:val="center"/>
        </w:trPr>
        <w:tc>
          <w:tcPr>
            <w:tcW w:w="1566" w:type="dxa"/>
            <w:vMerge w:val="continue"/>
            <w:vAlign w:val="center"/>
          </w:tcPr>
          <w:p>
            <w:pPr>
              <w:keepNext w:val="0"/>
              <w:keepLines w:val="0"/>
              <w:pageBreakBefore w:val="0"/>
              <w:widowControl w:val="0"/>
              <w:kinsoku/>
              <w:wordWrap/>
              <w:overflowPunct/>
              <w:autoSpaceDN/>
              <w:bidi w:val="0"/>
              <w:spacing w:line="300" w:lineRule="exact"/>
              <w:ind w:right="0" w:rightChars="0" w:firstLine="0" w:firstLineChars="0"/>
              <w:jc w:val="both"/>
              <w:textAlignment w:val="auto"/>
              <w:outlineLvl w:val="9"/>
            </w:pPr>
          </w:p>
        </w:tc>
        <w:tc>
          <w:tcPr>
            <w:tcW w:w="9561" w:type="dxa"/>
            <w:vAlign w:val="center"/>
          </w:tcPr>
          <w:p>
            <w:pPr>
              <w:keepNext w:val="0"/>
              <w:keepLines w:val="0"/>
              <w:pageBreakBefore w:val="0"/>
              <w:widowControl w:val="0"/>
              <w:kinsoku/>
              <w:wordWrap/>
              <w:overflowPunct/>
              <w:topLinePunct/>
              <w:autoSpaceDE w:val="0"/>
              <w:autoSpaceDN/>
              <w:bidi w:val="0"/>
              <w:adjustRightInd w:val="0"/>
              <w:snapToGrid w:val="0"/>
              <w:spacing w:line="300" w:lineRule="exact"/>
              <w:ind w:right="0" w:rightChars="0" w:firstLine="0" w:firstLineChars="0"/>
              <w:jc w:val="both"/>
              <w:textAlignment w:val="auto"/>
              <w:outlineLvl w:val="9"/>
              <w:rPr>
                <w:rFonts w:hint="eastAsia" w:ascii="仿宋_GB2312" w:eastAsia="仿宋_GB2312"/>
                <w:sz w:val="24"/>
              </w:rPr>
            </w:pPr>
            <w:r>
              <w:rPr>
                <w:rFonts w:hint="eastAsia" w:ascii="仿宋_GB2312" w:eastAsia="仿宋_GB2312"/>
                <w:sz w:val="24"/>
                <w:lang w:val="en-US" w:eastAsia="zh-CN"/>
              </w:rPr>
              <w:t>16</w:t>
            </w:r>
            <w:r>
              <w:rPr>
                <w:rFonts w:hint="eastAsia" w:ascii="仿宋_GB2312" w:eastAsia="仿宋_GB2312"/>
                <w:sz w:val="24"/>
              </w:rPr>
              <w:t>.实行以效付费。</w:t>
            </w:r>
            <w:r>
              <w:rPr>
                <w:rFonts w:hint="eastAsia" w:ascii="仿宋_GB2312" w:eastAsia="仿宋_GB2312"/>
                <w:sz w:val="24"/>
                <w:lang w:val="en-US" w:eastAsia="zh-CN"/>
              </w:rPr>
              <w:t>各地</w:t>
            </w:r>
            <w:r>
              <w:rPr>
                <w:rFonts w:hint="eastAsia" w:ascii="仿宋_GB2312" w:eastAsia="仿宋_GB2312"/>
                <w:sz w:val="24"/>
              </w:rPr>
              <w:t>要坚持厂站与管网、进水浓度与出水水质统筹，将治理成效作为双方签订污水治理合同的约定义务，与建设运维企业合理确定治理成效考核指标体系，按照管网配套情况、污水收集情况、设施运行情况等，每季度或每半年开展成效考核。</w:t>
            </w:r>
          </w:p>
        </w:tc>
        <w:tc>
          <w:tcPr>
            <w:tcW w:w="2809" w:type="dxa"/>
            <w:vAlign w:val="center"/>
          </w:tcPr>
          <w:p>
            <w:pPr>
              <w:keepNext w:val="0"/>
              <w:keepLines w:val="0"/>
              <w:pageBreakBefore w:val="0"/>
              <w:widowControl w:val="0"/>
              <w:kinsoku/>
              <w:wordWrap/>
              <w:overflowPunct/>
              <w:topLinePunct/>
              <w:autoSpaceDE w:val="0"/>
              <w:autoSpaceDN/>
              <w:bidi w:val="0"/>
              <w:adjustRightInd w:val="0"/>
              <w:snapToGrid w:val="0"/>
              <w:spacing w:line="300" w:lineRule="exact"/>
              <w:ind w:right="0" w:rightChars="0" w:firstLine="0" w:firstLineChars="0"/>
              <w:jc w:val="both"/>
              <w:textAlignment w:val="auto"/>
              <w:outlineLvl w:val="9"/>
              <w:rPr>
                <w:rFonts w:hint="eastAsia" w:ascii="仿宋_GB2312" w:eastAsia="仿宋_GB2312"/>
                <w:sz w:val="24"/>
              </w:rPr>
            </w:pPr>
            <w:r>
              <w:rPr>
                <w:rFonts w:hint="eastAsia" w:ascii="仿宋_GB2312" w:eastAsia="仿宋_GB2312"/>
                <w:sz w:val="24"/>
                <w:lang w:eastAsia="zh-CN"/>
              </w:rPr>
              <w:t>安溪</w:t>
            </w:r>
            <w:r>
              <w:rPr>
                <w:rFonts w:hint="eastAsia" w:ascii="仿宋_GB2312" w:eastAsia="仿宋_GB2312"/>
                <w:sz w:val="24"/>
              </w:rPr>
              <w:t>生态环境局</w:t>
            </w:r>
            <w:r>
              <w:rPr>
                <w:rFonts w:hint="eastAsia" w:ascii="仿宋_GB2312" w:eastAsia="仿宋_GB2312"/>
                <w:sz w:val="24"/>
                <w:highlight w:val="none"/>
                <w:u w:val="none"/>
              </w:rPr>
              <w:t>牵头，</w:t>
            </w:r>
            <w:r>
              <w:rPr>
                <w:rFonts w:hint="eastAsia" w:ascii="仿宋_GB2312" w:eastAsia="仿宋_GB2312"/>
                <w:sz w:val="24"/>
                <w:highlight w:val="none"/>
                <w:u w:val="none"/>
                <w:lang w:eastAsia="zh-CN"/>
              </w:rPr>
              <w:t>县</w:t>
            </w:r>
            <w:r>
              <w:rPr>
                <w:rFonts w:hint="eastAsia" w:ascii="仿宋_GB2312" w:eastAsia="仿宋_GB2312"/>
                <w:sz w:val="24"/>
                <w:highlight w:val="none"/>
                <w:u w:val="none"/>
              </w:rPr>
              <w:t>城管局配合</w:t>
            </w:r>
          </w:p>
        </w:tc>
      </w:tr>
    </w:tbl>
    <w:p>
      <w:pPr>
        <w:adjustRightInd w:val="0"/>
        <w:snapToGrid w:val="0"/>
        <w:spacing w:line="590" w:lineRule="exact"/>
        <w:jc w:val="both"/>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adjustRightInd w:val="0"/>
        <w:snapToGrid w:val="0"/>
        <w:spacing w:after="220" w:line="59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农村生活污水治理改革措施清单</w:t>
      </w:r>
    </w:p>
    <w:tbl>
      <w:tblPr>
        <w:tblStyle w:val="9"/>
        <w:tblW w:w="13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379"/>
        <w:gridCol w:w="7369"/>
        <w:gridCol w:w="2965"/>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blHeader/>
          <w:jc w:val="center"/>
        </w:trPr>
        <w:tc>
          <w:tcPr>
            <w:tcW w:w="750" w:type="dxa"/>
            <w:vAlign w:val="center"/>
          </w:tcPr>
          <w:p>
            <w:pPr>
              <w:topLinePunct/>
              <w:autoSpaceDE w:val="0"/>
              <w:adjustRightInd w:val="0"/>
              <w:snapToGrid w:val="0"/>
              <w:jc w:val="center"/>
              <w:rPr>
                <w:rFonts w:ascii="Times New Roman" w:hAnsi="Times New Roman" w:eastAsia="黑体"/>
                <w:b/>
                <w:sz w:val="24"/>
              </w:rPr>
            </w:pPr>
            <w:r>
              <w:rPr>
                <w:rFonts w:ascii="Times New Roman" w:hAnsi="Times New Roman" w:eastAsia="黑体"/>
                <w:b/>
                <w:sz w:val="24"/>
              </w:rPr>
              <w:t>序号</w:t>
            </w:r>
          </w:p>
        </w:tc>
        <w:tc>
          <w:tcPr>
            <w:tcW w:w="1379" w:type="dxa"/>
            <w:vAlign w:val="center"/>
          </w:tcPr>
          <w:p>
            <w:pPr>
              <w:topLinePunct/>
              <w:autoSpaceDE w:val="0"/>
              <w:adjustRightInd w:val="0"/>
              <w:snapToGrid w:val="0"/>
              <w:jc w:val="center"/>
              <w:rPr>
                <w:rFonts w:ascii="Times New Roman" w:hAnsi="Times New Roman" w:eastAsia="黑体"/>
                <w:b/>
                <w:sz w:val="24"/>
              </w:rPr>
            </w:pPr>
            <w:r>
              <w:rPr>
                <w:rFonts w:ascii="Times New Roman" w:hAnsi="Times New Roman" w:eastAsia="黑体"/>
                <w:b/>
                <w:sz w:val="24"/>
              </w:rPr>
              <w:t>类别</w:t>
            </w:r>
          </w:p>
        </w:tc>
        <w:tc>
          <w:tcPr>
            <w:tcW w:w="7369" w:type="dxa"/>
            <w:vAlign w:val="center"/>
          </w:tcPr>
          <w:p>
            <w:pPr>
              <w:topLinePunct/>
              <w:autoSpaceDE w:val="0"/>
              <w:adjustRightInd w:val="0"/>
              <w:snapToGrid w:val="0"/>
              <w:jc w:val="center"/>
              <w:rPr>
                <w:rFonts w:ascii="Times New Roman" w:hAnsi="Times New Roman" w:eastAsia="黑体"/>
                <w:b/>
                <w:sz w:val="24"/>
              </w:rPr>
            </w:pPr>
            <w:r>
              <w:rPr>
                <w:rFonts w:ascii="Times New Roman" w:hAnsi="Times New Roman" w:eastAsia="黑体"/>
                <w:b/>
                <w:sz w:val="24"/>
              </w:rPr>
              <w:t>政策及改革措施内容</w:t>
            </w:r>
          </w:p>
        </w:tc>
        <w:tc>
          <w:tcPr>
            <w:tcW w:w="2965" w:type="dxa"/>
            <w:vAlign w:val="center"/>
          </w:tcPr>
          <w:p>
            <w:pPr>
              <w:topLinePunct/>
              <w:autoSpaceDE w:val="0"/>
              <w:adjustRightInd w:val="0"/>
              <w:snapToGrid w:val="0"/>
              <w:jc w:val="center"/>
              <w:rPr>
                <w:rFonts w:ascii="Times New Roman" w:hAnsi="Times New Roman" w:eastAsia="黑体"/>
                <w:b/>
                <w:sz w:val="24"/>
              </w:rPr>
            </w:pPr>
            <w:r>
              <w:rPr>
                <w:rFonts w:hint="eastAsia" w:ascii="Times New Roman" w:hAnsi="Times New Roman" w:eastAsia="黑体"/>
                <w:b/>
                <w:sz w:val="24"/>
              </w:rPr>
              <w:t>责任</w:t>
            </w:r>
            <w:r>
              <w:rPr>
                <w:rFonts w:ascii="Times New Roman" w:hAnsi="Times New Roman" w:eastAsia="黑体"/>
                <w:b/>
                <w:sz w:val="24"/>
              </w:rPr>
              <w:t>单位</w:t>
            </w:r>
          </w:p>
        </w:tc>
        <w:tc>
          <w:tcPr>
            <w:tcW w:w="1473" w:type="dxa"/>
            <w:vAlign w:val="center"/>
          </w:tcPr>
          <w:p>
            <w:pPr>
              <w:topLinePunct/>
              <w:autoSpaceDE w:val="0"/>
              <w:adjustRightInd w:val="0"/>
              <w:snapToGrid w:val="0"/>
              <w:jc w:val="center"/>
              <w:rPr>
                <w:rFonts w:ascii="Times New Roman" w:hAnsi="Times New Roman" w:eastAsia="黑体"/>
                <w:b/>
                <w:sz w:val="24"/>
              </w:rPr>
            </w:pPr>
            <w:r>
              <w:rPr>
                <w:rFonts w:ascii="Times New Roman" w:hAnsi="Times New Roman" w:eastAsia="黑体"/>
                <w:b/>
                <w:sz w:val="24"/>
              </w:rPr>
              <w:t>时限要求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750" w:type="dxa"/>
            <w:vAlign w:val="center"/>
          </w:tcPr>
          <w:p>
            <w:pPr>
              <w:topLinePunct/>
              <w:autoSpaceDE w:val="0"/>
              <w:adjustRightInd w:val="0"/>
              <w:snapToGrid w:val="0"/>
              <w:jc w:val="center"/>
              <w:rPr>
                <w:rFonts w:hint="eastAsia" w:ascii="仿宋_GB2312" w:eastAsia="仿宋_GB2312" w:cs="Times New Roman"/>
                <w:sz w:val="24"/>
                <w:lang w:eastAsia="zh-CN"/>
              </w:rPr>
            </w:pPr>
            <w:r>
              <w:rPr>
                <w:rFonts w:hint="eastAsia" w:ascii="仿宋_GB2312" w:eastAsia="仿宋_GB2312" w:cs="Times New Roman"/>
                <w:sz w:val="24"/>
                <w:lang w:val="en-US" w:eastAsia="zh-CN"/>
              </w:rPr>
              <w:t>1</w:t>
            </w:r>
          </w:p>
        </w:tc>
        <w:tc>
          <w:tcPr>
            <w:tcW w:w="1379" w:type="dxa"/>
            <w:vMerge w:val="restart"/>
            <w:vAlign w:val="center"/>
          </w:tcPr>
          <w:p>
            <w:pPr>
              <w:topLinePunct/>
              <w:autoSpaceDE w:val="0"/>
              <w:adjustRightInd w:val="0"/>
              <w:snapToGrid w:val="0"/>
              <w:jc w:val="both"/>
              <w:rPr>
                <w:rFonts w:hint="eastAsia" w:ascii="仿宋_GB2312" w:eastAsia="仿宋_GB2312" w:cs="Times New Roman"/>
                <w:sz w:val="24"/>
              </w:rPr>
            </w:pPr>
          </w:p>
          <w:p>
            <w:pPr>
              <w:topLinePunct/>
              <w:autoSpaceDE w:val="0"/>
              <w:adjustRightInd w:val="0"/>
              <w:snapToGrid w:val="0"/>
              <w:jc w:val="both"/>
              <w:rPr>
                <w:rFonts w:hint="eastAsia" w:ascii="仿宋_GB2312" w:eastAsia="仿宋_GB2312" w:cs="Times New Roman"/>
                <w:sz w:val="24"/>
              </w:rPr>
            </w:pPr>
            <w:r>
              <w:rPr>
                <w:rFonts w:hint="eastAsia" w:ascii="仿宋_GB2312" w:eastAsia="仿宋_GB2312" w:cs="Times New Roman"/>
                <w:sz w:val="24"/>
              </w:rPr>
              <w:t>实施模式</w:t>
            </w:r>
          </w:p>
        </w:tc>
        <w:tc>
          <w:tcPr>
            <w:tcW w:w="7369" w:type="dxa"/>
            <w:vAlign w:val="center"/>
          </w:tcPr>
          <w:p>
            <w:pPr>
              <w:topLinePunct/>
              <w:autoSpaceDE w:val="0"/>
              <w:adjustRightInd w:val="0"/>
              <w:snapToGrid w:val="0"/>
              <w:jc w:val="both"/>
              <w:rPr>
                <w:rFonts w:hint="eastAsia" w:ascii="仿宋_GB2312" w:eastAsia="仿宋_GB2312" w:cs="Times New Roman"/>
                <w:sz w:val="24"/>
              </w:rPr>
            </w:pPr>
            <w:r>
              <w:rPr>
                <w:rFonts w:hint="eastAsia" w:ascii="仿宋_GB2312" w:eastAsia="仿宋_GB2312" w:cs="Times New Roman"/>
                <w:sz w:val="24"/>
              </w:rPr>
              <w:t>实行专业化</w:t>
            </w:r>
            <w:r>
              <w:rPr>
                <w:rFonts w:hint="eastAsia" w:ascii="仿宋_GB2312" w:eastAsia="仿宋_GB2312" w:cs="Times New Roman"/>
                <w:sz w:val="24"/>
                <w:lang w:val="en-US" w:eastAsia="zh-CN"/>
              </w:rPr>
              <w:t>建设</w:t>
            </w:r>
            <w:r>
              <w:rPr>
                <w:rFonts w:hint="eastAsia" w:ascii="仿宋_GB2312" w:eastAsia="仿宋_GB2312" w:cs="Times New Roman"/>
                <w:sz w:val="24"/>
              </w:rPr>
              <w:t>、企业化</w:t>
            </w:r>
            <w:r>
              <w:rPr>
                <w:rFonts w:hint="eastAsia" w:ascii="仿宋_GB2312" w:eastAsia="仿宋_GB2312" w:cs="Times New Roman"/>
                <w:sz w:val="24"/>
                <w:lang w:val="en-US" w:eastAsia="zh-CN"/>
              </w:rPr>
              <w:t>管理，逐步推进由</w:t>
            </w:r>
            <w:r>
              <w:rPr>
                <w:rFonts w:hint="eastAsia" w:ascii="仿宋_GB2312" w:eastAsia="仿宋_GB2312" w:cs="Times New Roman"/>
                <w:sz w:val="24"/>
                <w:lang w:eastAsia="zh-CN"/>
              </w:rPr>
              <w:t>安溪水务集团有限公司</w:t>
            </w:r>
            <w:r>
              <w:rPr>
                <w:rFonts w:hint="eastAsia" w:ascii="仿宋_GB2312" w:eastAsia="仿宋_GB2312" w:cs="Times New Roman"/>
                <w:sz w:val="24"/>
              </w:rPr>
              <w:t>统一负责县域农村生活污水治理（含厂站及管网）项目“投、建、管、运”，</w:t>
            </w:r>
            <w:r>
              <w:rPr>
                <w:rFonts w:hint="eastAsia" w:ascii="仿宋_GB2312" w:eastAsia="仿宋_GB2312" w:cs="Times New Roman"/>
                <w:sz w:val="24"/>
                <w:lang w:val="en-US" w:eastAsia="zh-CN"/>
              </w:rPr>
              <w:t>依法依规与专业公司签订协议（合同），推进农村生活污水规范化治理。</w:t>
            </w:r>
          </w:p>
        </w:tc>
        <w:tc>
          <w:tcPr>
            <w:tcW w:w="2965" w:type="dxa"/>
            <w:vAlign w:val="center"/>
          </w:tcPr>
          <w:p>
            <w:pPr>
              <w:topLinePunct/>
              <w:autoSpaceDE w:val="0"/>
              <w:adjustRightInd w:val="0"/>
              <w:snapToGrid w:val="0"/>
              <w:jc w:val="both"/>
              <w:rPr>
                <w:rFonts w:hint="eastAsia" w:ascii="仿宋_GB2312" w:eastAsia="仿宋_GB2312" w:cs="Times New Roman"/>
                <w:sz w:val="24"/>
                <w:lang w:eastAsia="zh-CN"/>
              </w:rPr>
            </w:pPr>
            <w:r>
              <w:rPr>
                <w:rFonts w:hint="eastAsia" w:ascii="仿宋_GB2312" w:eastAsia="仿宋_GB2312" w:cs="Times New Roman"/>
                <w:sz w:val="24"/>
                <w:lang w:eastAsia="zh-CN"/>
              </w:rPr>
              <w:t>安溪生态环境局指导，</w:t>
            </w:r>
            <w:r>
              <w:rPr>
                <w:rFonts w:hint="eastAsia" w:ascii="仿宋_GB2312" w:eastAsia="仿宋_GB2312"/>
                <w:sz w:val="24"/>
                <w:lang w:eastAsia="zh-CN"/>
              </w:rPr>
              <w:t>县</w:t>
            </w:r>
            <w:r>
              <w:rPr>
                <w:rFonts w:hint="eastAsia" w:ascii="仿宋_GB2312" w:eastAsia="仿宋_GB2312" w:cs="Times New Roman"/>
                <w:sz w:val="24"/>
                <w:lang w:eastAsia="zh-CN"/>
              </w:rPr>
              <w:t>发改局、城管局、水利局按职责分工</w:t>
            </w:r>
          </w:p>
        </w:tc>
        <w:tc>
          <w:tcPr>
            <w:tcW w:w="1473" w:type="dxa"/>
            <w:vAlign w:val="center"/>
          </w:tcPr>
          <w:p>
            <w:pPr>
              <w:topLinePunct/>
              <w:autoSpaceDE w:val="0"/>
              <w:adjustRightInd w:val="0"/>
              <w:snapToGrid w:val="0"/>
              <w:jc w:val="both"/>
              <w:rPr>
                <w:rFonts w:hint="eastAsia" w:ascii="仿宋_GB2312" w:eastAsia="仿宋_GB2312" w:cs="Times New Roman"/>
                <w:sz w:val="24"/>
              </w:rPr>
            </w:pPr>
            <w:r>
              <w:rPr>
                <w:rFonts w:hint="eastAsia" w:ascii="仿宋_GB2312" w:eastAsia="仿宋_GB2312" w:cs="Times New Roman"/>
                <w:sz w:val="24"/>
              </w:rPr>
              <w:t>202</w:t>
            </w:r>
            <w:r>
              <w:rPr>
                <w:rFonts w:hint="eastAsia" w:ascii="仿宋_GB2312" w:eastAsia="仿宋_GB2312" w:cs="Times New Roman"/>
                <w:sz w:val="24"/>
                <w:lang w:val="en-US" w:eastAsia="zh-CN"/>
              </w:rPr>
              <w:t>1</w:t>
            </w:r>
            <w:r>
              <w:rPr>
                <w:rFonts w:hint="eastAsia" w:ascii="仿宋_GB2312" w:eastAsia="仿宋_GB2312" w:cs="Times New Roman"/>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750" w:type="dxa"/>
            <w:vAlign w:val="center"/>
          </w:tcPr>
          <w:p>
            <w:pPr>
              <w:topLinePunct/>
              <w:autoSpaceDE w:val="0"/>
              <w:adjustRightInd w:val="0"/>
              <w:snapToGrid w:val="0"/>
              <w:jc w:val="center"/>
              <w:rPr>
                <w:rFonts w:hint="eastAsia" w:ascii="仿宋_GB2312" w:eastAsia="仿宋_GB2312" w:cs="Times New Roman"/>
                <w:sz w:val="24"/>
                <w:lang w:eastAsia="zh-CN"/>
              </w:rPr>
            </w:pPr>
            <w:r>
              <w:rPr>
                <w:rFonts w:hint="eastAsia" w:ascii="仿宋_GB2312" w:eastAsia="仿宋_GB2312" w:cs="Times New Roman"/>
                <w:sz w:val="24"/>
                <w:lang w:val="en-US" w:eastAsia="zh-CN"/>
              </w:rPr>
              <w:t>2</w:t>
            </w:r>
          </w:p>
        </w:tc>
        <w:tc>
          <w:tcPr>
            <w:tcW w:w="1379" w:type="dxa"/>
            <w:vMerge w:val="continue"/>
            <w:vAlign w:val="center"/>
          </w:tcPr>
          <w:p>
            <w:pPr>
              <w:topLinePunct/>
              <w:autoSpaceDE w:val="0"/>
              <w:adjustRightInd w:val="0"/>
              <w:snapToGrid w:val="0"/>
              <w:jc w:val="both"/>
              <w:rPr>
                <w:rFonts w:hint="eastAsia" w:ascii="仿宋_GB2312" w:eastAsia="仿宋_GB2312" w:cs="Times New Roman"/>
                <w:sz w:val="24"/>
              </w:rPr>
            </w:pPr>
          </w:p>
        </w:tc>
        <w:tc>
          <w:tcPr>
            <w:tcW w:w="7369" w:type="dxa"/>
            <w:vAlign w:val="center"/>
          </w:tcPr>
          <w:p>
            <w:pPr>
              <w:topLinePunct/>
              <w:autoSpaceDE w:val="0"/>
              <w:adjustRightInd w:val="0"/>
              <w:snapToGrid w:val="0"/>
              <w:jc w:val="both"/>
              <w:rPr>
                <w:rFonts w:hint="eastAsia" w:ascii="仿宋_GB2312" w:eastAsia="仿宋_GB2312" w:cs="Times New Roman"/>
                <w:sz w:val="24"/>
              </w:rPr>
            </w:pPr>
            <w:r>
              <w:rPr>
                <w:rFonts w:hint="eastAsia" w:ascii="仿宋_GB2312" w:eastAsia="仿宋_GB2312" w:cs="Times New Roman"/>
                <w:sz w:val="24"/>
              </w:rPr>
              <w:t>推行城乡供排水一体化，鼓励将城乡供水、农村生活污水治理、城镇污水处理整体打包委托专业公司统一负责建设运维。根据产权及经营权归属，依法依规、分类分步推进农村生活污水处理设施资产整合。</w:t>
            </w:r>
          </w:p>
        </w:tc>
        <w:tc>
          <w:tcPr>
            <w:tcW w:w="2965" w:type="dxa"/>
            <w:vAlign w:val="center"/>
          </w:tcPr>
          <w:p>
            <w:pPr>
              <w:topLinePunct/>
              <w:autoSpaceDE w:val="0"/>
              <w:adjustRightInd w:val="0"/>
              <w:snapToGrid w:val="0"/>
              <w:jc w:val="both"/>
              <w:rPr>
                <w:rFonts w:hint="eastAsia" w:ascii="仿宋_GB2312" w:eastAsia="仿宋_GB2312" w:cs="Times New Roman"/>
                <w:sz w:val="24"/>
                <w:lang w:eastAsia="zh-CN"/>
              </w:rPr>
            </w:pPr>
            <w:r>
              <w:rPr>
                <w:rFonts w:hint="eastAsia" w:ascii="仿宋_GB2312" w:eastAsia="仿宋_GB2312" w:cs="Times New Roman"/>
                <w:sz w:val="24"/>
                <w:lang w:eastAsia="zh-CN"/>
              </w:rPr>
              <w:t>安溪</w:t>
            </w:r>
            <w:r>
              <w:rPr>
                <w:rFonts w:hint="eastAsia" w:ascii="仿宋_GB2312" w:eastAsia="仿宋_GB2312" w:cs="Times New Roman"/>
                <w:sz w:val="24"/>
              </w:rPr>
              <w:t>生态环境局</w:t>
            </w:r>
            <w:r>
              <w:rPr>
                <w:rFonts w:hint="eastAsia" w:ascii="仿宋_GB2312" w:eastAsia="仿宋_GB2312" w:cs="Times New Roman"/>
                <w:sz w:val="24"/>
                <w:lang w:eastAsia="zh-CN"/>
              </w:rPr>
              <w:t>、</w:t>
            </w:r>
            <w:r>
              <w:rPr>
                <w:rFonts w:hint="eastAsia" w:ascii="仿宋_GB2312" w:eastAsia="仿宋_GB2312"/>
                <w:sz w:val="24"/>
                <w:lang w:eastAsia="zh-CN"/>
              </w:rPr>
              <w:t>县</w:t>
            </w:r>
            <w:r>
              <w:rPr>
                <w:rFonts w:hint="eastAsia" w:ascii="仿宋_GB2312" w:eastAsia="仿宋_GB2312" w:cs="Times New Roman"/>
                <w:sz w:val="24"/>
                <w:lang w:eastAsia="zh-CN"/>
              </w:rPr>
              <w:t>水利局、城管局</w:t>
            </w:r>
            <w:r>
              <w:rPr>
                <w:rFonts w:hint="eastAsia" w:ascii="仿宋_GB2312" w:eastAsia="仿宋_GB2312" w:cs="Times New Roman"/>
                <w:sz w:val="24"/>
              </w:rPr>
              <w:t>等指导</w:t>
            </w:r>
          </w:p>
        </w:tc>
        <w:tc>
          <w:tcPr>
            <w:tcW w:w="1473" w:type="dxa"/>
            <w:vAlign w:val="center"/>
          </w:tcPr>
          <w:p>
            <w:pPr>
              <w:topLinePunct/>
              <w:autoSpaceDE w:val="0"/>
              <w:adjustRightInd w:val="0"/>
              <w:snapToGrid w:val="0"/>
              <w:jc w:val="both"/>
              <w:rPr>
                <w:rFonts w:hint="eastAsia" w:ascii="仿宋_GB2312" w:eastAsia="仿宋_GB2312" w:cs="Times New Roman"/>
                <w:sz w:val="24"/>
              </w:rPr>
            </w:pPr>
            <w:r>
              <w:rPr>
                <w:rFonts w:hint="eastAsia" w:ascii="仿宋_GB2312" w:eastAsia="仿宋_GB2312" w:cs="Times New Roman"/>
                <w:sz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50" w:type="dxa"/>
            <w:vAlign w:val="center"/>
          </w:tcPr>
          <w:p>
            <w:pPr>
              <w:topLinePunct/>
              <w:autoSpaceDE w:val="0"/>
              <w:adjustRightInd w:val="0"/>
              <w:snapToGrid w:val="0"/>
              <w:jc w:val="center"/>
              <w:rPr>
                <w:rFonts w:hint="eastAsia" w:ascii="仿宋_GB2312" w:eastAsia="仿宋_GB2312" w:cs="Times New Roman"/>
                <w:sz w:val="24"/>
                <w:lang w:eastAsia="zh-CN"/>
              </w:rPr>
            </w:pPr>
            <w:r>
              <w:rPr>
                <w:rFonts w:hint="eastAsia" w:ascii="仿宋_GB2312" w:eastAsia="仿宋_GB2312" w:cs="Times New Roman"/>
                <w:sz w:val="24"/>
                <w:lang w:val="en-US" w:eastAsia="zh-CN"/>
              </w:rPr>
              <w:t>3</w:t>
            </w:r>
          </w:p>
        </w:tc>
        <w:tc>
          <w:tcPr>
            <w:tcW w:w="1379" w:type="dxa"/>
            <w:vMerge w:val="continue"/>
            <w:vAlign w:val="center"/>
          </w:tcPr>
          <w:p>
            <w:pPr>
              <w:topLinePunct/>
              <w:autoSpaceDE w:val="0"/>
              <w:adjustRightInd w:val="0"/>
              <w:snapToGrid w:val="0"/>
              <w:jc w:val="both"/>
              <w:rPr>
                <w:rFonts w:hint="eastAsia" w:ascii="仿宋_GB2312" w:eastAsia="仿宋_GB2312" w:cs="Times New Roman"/>
                <w:sz w:val="24"/>
              </w:rPr>
            </w:pPr>
          </w:p>
        </w:tc>
        <w:tc>
          <w:tcPr>
            <w:tcW w:w="7369" w:type="dxa"/>
            <w:vAlign w:val="center"/>
          </w:tcPr>
          <w:p>
            <w:pPr>
              <w:topLinePunct/>
              <w:autoSpaceDE w:val="0"/>
              <w:adjustRightInd w:val="0"/>
              <w:snapToGrid w:val="0"/>
              <w:jc w:val="both"/>
              <w:rPr>
                <w:rFonts w:hint="eastAsia" w:ascii="仿宋_GB2312" w:eastAsia="仿宋_GB2312" w:cs="Times New Roman"/>
                <w:sz w:val="24"/>
              </w:rPr>
            </w:pPr>
            <w:r>
              <w:rPr>
                <w:rFonts w:hint="eastAsia" w:ascii="仿宋_GB2312" w:eastAsia="仿宋_GB2312" w:cs="Times New Roman"/>
                <w:sz w:val="24"/>
                <w:lang w:val="en-US" w:eastAsia="zh-CN"/>
              </w:rPr>
              <w:t>推</w:t>
            </w:r>
            <w:r>
              <w:rPr>
                <w:rFonts w:hint="eastAsia" w:ascii="仿宋_GB2312" w:eastAsia="仿宋_GB2312" w:cs="Times New Roman"/>
                <w:sz w:val="24"/>
              </w:rPr>
              <w:t>行投资项目资本金制度，项目资本金由省级、市</w:t>
            </w:r>
            <w:r>
              <w:rPr>
                <w:rFonts w:hint="eastAsia" w:ascii="仿宋_GB2312" w:eastAsia="仿宋_GB2312" w:cs="Times New Roman"/>
                <w:sz w:val="24"/>
                <w:lang w:val="en-US" w:eastAsia="zh-CN"/>
              </w:rPr>
              <w:t>级奖补资金、</w:t>
            </w:r>
            <w:r>
              <w:rPr>
                <w:rFonts w:hint="eastAsia" w:ascii="仿宋_GB2312" w:eastAsia="仿宋_GB2312" w:cs="Times New Roman"/>
                <w:sz w:val="24"/>
              </w:rPr>
              <w:t>县财政</w:t>
            </w:r>
            <w:r>
              <w:rPr>
                <w:rFonts w:hint="eastAsia" w:ascii="仿宋_GB2312" w:eastAsia="仿宋_GB2312" w:cs="Times New Roman"/>
                <w:sz w:val="24"/>
                <w:lang w:val="en-US" w:eastAsia="zh-CN"/>
              </w:rPr>
              <w:t>出资</w:t>
            </w:r>
            <w:r>
              <w:rPr>
                <w:rFonts w:hint="eastAsia" w:ascii="仿宋_GB2312" w:eastAsia="仿宋_GB2312" w:cs="Times New Roman"/>
                <w:sz w:val="24"/>
              </w:rPr>
              <w:t>、专业公司参与方出资等构成，债务性资金通过符合规定的银行融资，申请政府性基金、专项债券等方式筹集。</w:t>
            </w:r>
          </w:p>
        </w:tc>
        <w:tc>
          <w:tcPr>
            <w:tcW w:w="2965" w:type="dxa"/>
            <w:vAlign w:val="center"/>
          </w:tcPr>
          <w:p>
            <w:pPr>
              <w:topLinePunct/>
              <w:autoSpaceDE w:val="0"/>
              <w:adjustRightInd w:val="0"/>
              <w:snapToGrid w:val="0"/>
              <w:jc w:val="both"/>
              <w:rPr>
                <w:rFonts w:hint="eastAsia" w:ascii="仿宋_GB2312" w:eastAsia="仿宋_GB2312" w:cs="Times New Roman"/>
                <w:sz w:val="24"/>
              </w:rPr>
            </w:pPr>
            <w:r>
              <w:rPr>
                <w:rFonts w:hint="eastAsia" w:ascii="仿宋_GB2312" w:eastAsia="仿宋_GB2312" w:cs="Times New Roman"/>
                <w:sz w:val="24"/>
                <w:lang w:eastAsia="zh-CN"/>
              </w:rPr>
              <w:t>县</w:t>
            </w:r>
            <w:r>
              <w:rPr>
                <w:rFonts w:hint="eastAsia" w:ascii="仿宋_GB2312" w:eastAsia="仿宋_GB2312" w:cs="Times New Roman"/>
                <w:sz w:val="24"/>
              </w:rPr>
              <w:t>财政局、发改</w:t>
            </w:r>
            <w:r>
              <w:rPr>
                <w:rFonts w:hint="eastAsia" w:ascii="仿宋_GB2312" w:eastAsia="仿宋_GB2312" w:cs="Times New Roman"/>
                <w:sz w:val="24"/>
                <w:lang w:eastAsia="zh-CN"/>
              </w:rPr>
              <w:t>局</w:t>
            </w:r>
            <w:r>
              <w:rPr>
                <w:rFonts w:hint="eastAsia" w:ascii="仿宋_GB2312" w:eastAsia="仿宋_GB2312" w:cs="Times New Roman"/>
                <w:sz w:val="24"/>
              </w:rPr>
              <w:t>、</w:t>
            </w:r>
            <w:r>
              <w:rPr>
                <w:rFonts w:hint="eastAsia" w:ascii="仿宋_GB2312" w:eastAsia="仿宋_GB2312" w:cs="Times New Roman"/>
                <w:sz w:val="24"/>
                <w:lang w:eastAsia="zh-CN"/>
              </w:rPr>
              <w:t>安溪</w:t>
            </w:r>
            <w:r>
              <w:rPr>
                <w:rFonts w:hint="eastAsia" w:ascii="仿宋_GB2312" w:eastAsia="仿宋_GB2312" w:cs="Times New Roman"/>
                <w:sz w:val="24"/>
              </w:rPr>
              <w:t>生态环境局等指导</w:t>
            </w:r>
          </w:p>
        </w:tc>
        <w:tc>
          <w:tcPr>
            <w:tcW w:w="1473" w:type="dxa"/>
            <w:vAlign w:val="center"/>
          </w:tcPr>
          <w:p>
            <w:pPr>
              <w:topLinePunct/>
              <w:autoSpaceDE w:val="0"/>
              <w:adjustRightInd w:val="0"/>
              <w:snapToGrid w:val="0"/>
              <w:jc w:val="both"/>
              <w:rPr>
                <w:rFonts w:hint="eastAsia" w:ascii="仿宋_GB2312" w:eastAsia="仿宋_GB2312" w:cs="Times New Roman"/>
                <w:sz w:val="24"/>
              </w:rPr>
            </w:pPr>
            <w:r>
              <w:rPr>
                <w:rFonts w:hint="eastAsia" w:ascii="仿宋_GB2312" w:eastAsia="仿宋_GB2312" w:cs="Times New Roman"/>
                <w:sz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Align w:val="center"/>
          </w:tcPr>
          <w:p>
            <w:pPr>
              <w:topLinePunct/>
              <w:autoSpaceDE w:val="0"/>
              <w:adjustRightInd w:val="0"/>
              <w:snapToGrid w:val="0"/>
              <w:jc w:val="center"/>
              <w:rPr>
                <w:rFonts w:hint="eastAsia" w:ascii="仿宋_GB2312" w:eastAsia="仿宋_GB2312"/>
                <w:sz w:val="24"/>
                <w:lang w:eastAsia="zh-CN"/>
              </w:rPr>
            </w:pPr>
            <w:r>
              <w:rPr>
                <w:rFonts w:hint="eastAsia" w:ascii="仿宋_GB2312" w:eastAsia="仿宋_GB2312"/>
                <w:sz w:val="24"/>
                <w:lang w:val="en-US" w:eastAsia="zh-CN"/>
              </w:rPr>
              <w:t>4</w:t>
            </w:r>
          </w:p>
        </w:tc>
        <w:tc>
          <w:tcPr>
            <w:tcW w:w="1379" w:type="dxa"/>
            <w:vAlign w:val="center"/>
          </w:tcPr>
          <w:p>
            <w:pPr>
              <w:topLinePunct/>
              <w:autoSpaceDE w:val="0"/>
              <w:adjustRightInd w:val="0"/>
              <w:snapToGrid w:val="0"/>
              <w:jc w:val="both"/>
              <w:rPr>
                <w:rFonts w:ascii="仿宋_GB2312" w:eastAsia="仿宋_GB2312"/>
                <w:sz w:val="24"/>
              </w:rPr>
            </w:pPr>
            <w:r>
              <w:rPr>
                <w:rFonts w:hint="eastAsia" w:ascii="仿宋_GB2312" w:eastAsia="仿宋_GB2312"/>
                <w:sz w:val="24"/>
              </w:rPr>
              <w:t>收费政策</w:t>
            </w:r>
          </w:p>
        </w:tc>
        <w:tc>
          <w:tcPr>
            <w:tcW w:w="7369" w:type="dxa"/>
            <w:vAlign w:val="center"/>
          </w:tcPr>
          <w:p>
            <w:pPr>
              <w:keepNext/>
              <w:keepLines/>
              <w:topLinePunct/>
              <w:autoSpaceDE w:val="0"/>
              <w:adjustRightInd w:val="0"/>
              <w:snapToGrid w:val="0"/>
              <w:spacing w:line="300" w:lineRule="exact"/>
              <w:jc w:val="both"/>
              <w:rPr>
                <w:rFonts w:ascii="仿宋_GB2312" w:eastAsia="仿宋_GB2312"/>
                <w:sz w:val="24"/>
              </w:rPr>
            </w:pPr>
            <w:r>
              <w:rPr>
                <w:rFonts w:hint="eastAsia" w:ascii="仿宋_GB2312" w:eastAsia="仿宋_GB2312"/>
                <w:sz w:val="24"/>
              </w:rPr>
              <w:t>综合考虑污水处理成本、使用者承受能力等因素，合理确定使用者付费标准，稳步推行使用者付费，逐步实现收支平衡，鼓励依托供水公司</w:t>
            </w:r>
            <w:r>
              <w:rPr>
                <w:rFonts w:hint="eastAsia" w:ascii="仿宋_GB2312" w:eastAsia="仿宋_GB2312"/>
                <w:sz w:val="24"/>
                <w:lang w:val="en-US" w:eastAsia="zh-CN"/>
              </w:rPr>
              <w:t>代</w:t>
            </w:r>
            <w:r>
              <w:rPr>
                <w:rFonts w:hint="eastAsia" w:ascii="仿宋_GB2312" w:eastAsia="仿宋_GB2312"/>
                <w:sz w:val="24"/>
              </w:rPr>
              <w:t>收污水处理费</w:t>
            </w:r>
            <w:r>
              <w:rPr>
                <w:rFonts w:hint="eastAsia" w:ascii="仿宋_GB2312" w:eastAsia="仿宋_GB2312"/>
                <w:sz w:val="24"/>
                <w:lang w:eastAsia="zh-CN"/>
              </w:rPr>
              <w:t>，</w:t>
            </w:r>
            <w:r>
              <w:rPr>
                <w:rFonts w:hint="eastAsia" w:ascii="仿宋_GB2312" w:eastAsia="仿宋_GB2312"/>
                <w:sz w:val="24"/>
                <w:lang w:val="en-US" w:eastAsia="zh-CN"/>
              </w:rPr>
              <w:t>探索依托供电公司代收污水处理费</w:t>
            </w:r>
            <w:r>
              <w:rPr>
                <w:rFonts w:hint="eastAsia" w:ascii="仿宋_GB2312" w:eastAsia="仿宋_GB2312"/>
                <w:sz w:val="24"/>
              </w:rPr>
              <w:t>。</w:t>
            </w:r>
          </w:p>
        </w:tc>
        <w:tc>
          <w:tcPr>
            <w:tcW w:w="2965" w:type="dxa"/>
            <w:vAlign w:val="center"/>
          </w:tcPr>
          <w:p>
            <w:pPr>
              <w:topLinePunct/>
              <w:autoSpaceDE w:val="0"/>
              <w:adjustRightInd w:val="0"/>
              <w:snapToGrid w:val="0"/>
              <w:jc w:val="both"/>
              <w:rPr>
                <w:rFonts w:ascii="仿宋_GB2312" w:eastAsia="仿宋_GB2312"/>
                <w:sz w:val="24"/>
              </w:rPr>
            </w:pPr>
            <w:r>
              <w:rPr>
                <w:rFonts w:hint="eastAsia" w:ascii="仿宋_GB2312" w:eastAsia="仿宋_GB2312" w:cs="Times New Roman"/>
                <w:sz w:val="24"/>
                <w:lang w:eastAsia="zh-CN"/>
              </w:rPr>
              <w:t>县</w:t>
            </w:r>
            <w:r>
              <w:rPr>
                <w:rFonts w:hint="eastAsia" w:ascii="仿宋_GB2312" w:eastAsia="仿宋_GB2312" w:cs="Times New Roman"/>
                <w:sz w:val="24"/>
              </w:rPr>
              <w:t>财政局、发改</w:t>
            </w:r>
            <w:r>
              <w:rPr>
                <w:rFonts w:hint="eastAsia" w:ascii="仿宋_GB2312" w:eastAsia="仿宋_GB2312" w:cs="Times New Roman"/>
                <w:sz w:val="24"/>
                <w:lang w:eastAsia="zh-CN"/>
              </w:rPr>
              <w:t>局</w:t>
            </w:r>
            <w:r>
              <w:rPr>
                <w:rFonts w:hint="eastAsia" w:ascii="仿宋_GB2312" w:eastAsia="仿宋_GB2312" w:cs="Times New Roman"/>
                <w:sz w:val="24"/>
              </w:rPr>
              <w:t>、</w:t>
            </w:r>
            <w:r>
              <w:rPr>
                <w:rFonts w:hint="eastAsia" w:ascii="仿宋_GB2312" w:eastAsia="仿宋_GB2312" w:cs="Times New Roman"/>
                <w:sz w:val="24"/>
                <w:lang w:eastAsia="zh-CN"/>
              </w:rPr>
              <w:t>安溪</w:t>
            </w:r>
            <w:r>
              <w:rPr>
                <w:rFonts w:hint="eastAsia" w:ascii="仿宋_GB2312" w:eastAsia="仿宋_GB2312" w:cs="Times New Roman"/>
                <w:sz w:val="24"/>
              </w:rPr>
              <w:t>生态环境局等指导</w:t>
            </w:r>
          </w:p>
        </w:tc>
        <w:tc>
          <w:tcPr>
            <w:tcW w:w="1473" w:type="dxa"/>
            <w:vAlign w:val="center"/>
          </w:tcPr>
          <w:p>
            <w:pPr>
              <w:topLinePunct/>
              <w:autoSpaceDE w:val="0"/>
              <w:adjustRightInd w:val="0"/>
              <w:snapToGrid w:val="0"/>
              <w:jc w:val="both"/>
              <w:rPr>
                <w:rFonts w:ascii="仿宋_GB2312" w:eastAsia="仿宋_GB2312"/>
                <w:sz w:val="24"/>
              </w:rPr>
            </w:pPr>
            <w:r>
              <w:rPr>
                <w:rFonts w:hint="eastAsia" w:ascii="仿宋_GB2312" w:eastAsia="仿宋_GB2312"/>
                <w:sz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50" w:type="dxa"/>
            <w:vAlign w:val="center"/>
          </w:tcPr>
          <w:p>
            <w:pPr>
              <w:topLinePunct/>
              <w:autoSpaceDE w:val="0"/>
              <w:adjustRightInd w:val="0"/>
              <w:snapToGrid w:val="0"/>
              <w:jc w:val="center"/>
              <w:rPr>
                <w:rFonts w:hint="eastAsia" w:ascii="仿宋_GB2312" w:eastAsia="仿宋_GB2312"/>
                <w:sz w:val="24"/>
                <w:lang w:eastAsia="zh-CN"/>
              </w:rPr>
            </w:pPr>
            <w:r>
              <w:rPr>
                <w:rFonts w:hint="eastAsia" w:ascii="仿宋_GB2312" w:eastAsia="仿宋_GB2312"/>
                <w:sz w:val="24"/>
                <w:lang w:val="en-US" w:eastAsia="zh-CN"/>
              </w:rPr>
              <w:t>5</w:t>
            </w:r>
          </w:p>
        </w:tc>
        <w:tc>
          <w:tcPr>
            <w:tcW w:w="1379" w:type="dxa"/>
            <w:vAlign w:val="center"/>
          </w:tcPr>
          <w:p>
            <w:pPr>
              <w:topLinePunct/>
              <w:autoSpaceDE w:val="0"/>
              <w:adjustRightInd w:val="0"/>
              <w:snapToGrid w:val="0"/>
              <w:jc w:val="both"/>
              <w:rPr>
                <w:rFonts w:ascii="仿宋_GB2312" w:eastAsia="仿宋_GB2312"/>
                <w:sz w:val="24"/>
              </w:rPr>
            </w:pPr>
            <w:r>
              <w:rPr>
                <w:rFonts w:hint="eastAsia" w:ascii="仿宋_GB2312" w:eastAsia="仿宋_GB2312"/>
                <w:sz w:val="24"/>
              </w:rPr>
              <w:t>资金保障</w:t>
            </w:r>
          </w:p>
          <w:p>
            <w:pPr>
              <w:topLinePunct/>
              <w:autoSpaceDE w:val="0"/>
              <w:adjustRightInd w:val="0"/>
              <w:snapToGrid w:val="0"/>
              <w:jc w:val="both"/>
              <w:rPr>
                <w:rFonts w:ascii="仿宋_GB2312" w:eastAsia="仿宋_GB2312"/>
                <w:sz w:val="24"/>
              </w:rPr>
            </w:pPr>
            <w:r>
              <w:rPr>
                <w:rFonts w:hint="eastAsia" w:ascii="仿宋_GB2312" w:eastAsia="仿宋_GB2312"/>
                <w:sz w:val="24"/>
              </w:rPr>
              <w:t>政策</w:t>
            </w:r>
          </w:p>
        </w:tc>
        <w:tc>
          <w:tcPr>
            <w:tcW w:w="7369" w:type="dxa"/>
            <w:vAlign w:val="center"/>
          </w:tcPr>
          <w:p>
            <w:pPr>
              <w:topLinePunct/>
              <w:autoSpaceDE w:val="0"/>
              <w:adjustRightInd w:val="0"/>
              <w:snapToGrid w:val="0"/>
              <w:jc w:val="both"/>
              <w:rPr>
                <w:rFonts w:ascii="仿宋_GB2312" w:eastAsia="仿宋_GB2312"/>
                <w:sz w:val="24"/>
              </w:rPr>
            </w:pPr>
            <w:r>
              <w:rPr>
                <w:rFonts w:hint="eastAsia" w:ascii="仿宋_GB2312" w:eastAsia="仿宋_GB2312"/>
                <w:sz w:val="24"/>
                <w:lang w:val="en-US" w:eastAsia="zh-CN"/>
              </w:rPr>
              <w:t>负责农村生活污水提升治理</w:t>
            </w:r>
            <w:r>
              <w:rPr>
                <w:rFonts w:hint="eastAsia" w:ascii="仿宋_GB2312" w:eastAsia="仿宋_GB2312"/>
                <w:sz w:val="24"/>
              </w:rPr>
              <w:t>资金</w:t>
            </w:r>
            <w:r>
              <w:rPr>
                <w:rFonts w:hint="eastAsia" w:ascii="仿宋_GB2312" w:eastAsia="仿宋_GB2312"/>
                <w:sz w:val="24"/>
                <w:lang w:val="en-US" w:eastAsia="zh-CN"/>
              </w:rPr>
              <w:t>兜底</w:t>
            </w:r>
            <w:r>
              <w:rPr>
                <w:rFonts w:hint="eastAsia" w:ascii="仿宋_GB2312" w:eastAsia="仿宋_GB2312"/>
                <w:sz w:val="24"/>
              </w:rPr>
              <w:t>保障，按照年度项目计划编列专项资金</w:t>
            </w:r>
            <w:r>
              <w:rPr>
                <w:rFonts w:hint="eastAsia" w:ascii="仿宋_GB2312" w:eastAsia="仿宋_GB2312" w:cs="Times New Roman"/>
                <w:sz w:val="24"/>
              </w:rPr>
              <w:t>，</w:t>
            </w:r>
            <w:r>
              <w:rPr>
                <w:rFonts w:hint="eastAsia" w:ascii="仿宋_GB2312" w:eastAsia="仿宋_GB2312" w:cs="Times New Roman"/>
                <w:sz w:val="24"/>
                <w:szCs w:val="24"/>
                <w:lang w:val="en-US" w:eastAsia="zh-CN"/>
              </w:rPr>
              <w:t>同时积极争取中央农村环境整治资金、省级重点流域生态保护补偿资金、省级农村生活污水治理“以奖代补”资金，按相应比例统筹安排和使用土地出让收益，统筹市级晋江洛阳江上游水资源保护补偿资金、市级重点流域水环境综合整治专项资金、省级乡村振兴试点村配套补助专项资金等涉农、涉水资</w:t>
            </w:r>
            <w:r>
              <w:rPr>
                <w:rFonts w:hint="eastAsia" w:ascii="仿宋_GB2312" w:eastAsia="仿宋_GB2312" w:cs="Times New Roman"/>
                <w:sz w:val="24"/>
                <w:szCs w:val="24"/>
                <w:highlight w:val="none"/>
                <w:lang w:val="en-US" w:eastAsia="zh-CN"/>
              </w:rPr>
              <w:t>金，优先用于农</w:t>
            </w:r>
            <w:r>
              <w:rPr>
                <w:rFonts w:hint="eastAsia" w:ascii="仿宋_GB2312" w:eastAsia="仿宋_GB2312" w:cs="Times New Roman"/>
                <w:sz w:val="24"/>
                <w:szCs w:val="24"/>
                <w:lang w:val="en-US" w:eastAsia="zh-CN"/>
              </w:rPr>
              <w:t>村生活污水治理设施建设及运维</w:t>
            </w:r>
            <w:r>
              <w:rPr>
                <w:rFonts w:hint="eastAsia" w:ascii="仿宋_GB2312" w:eastAsia="仿宋_GB2312" w:cs="Times New Roman"/>
                <w:sz w:val="24"/>
              </w:rPr>
              <w:t>。</w:t>
            </w:r>
          </w:p>
        </w:tc>
        <w:tc>
          <w:tcPr>
            <w:tcW w:w="2965" w:type="dxa"/>
            <w:vAlign w:val="center"/>
          </w:tcPr>
          <w:p>
            <w:pPr>
              <w:jc w:val="both"/>
              <w:rPr>
                <w:rFonts w:ascii="仿宋_GB2312" w:eastAsia="仿宋_GB2312"/>
                <w:sz w:val="24"/>
              </w:rPr>
            </w:pPr>
            <w:r>
              <w:rPr>
                <w:rFonts w:hint="eastAsia" w:ascii="仿宋_GB2312" w:eastAsia="仿宋_GB2312"/>
                <w:sz w:val="24"/>
                <w:lang w:eastAsia="zh-CN"/>
              </w:rPr>
              <w:t>县</w:t>
            </w:r>
            <w:r>
              <w:rPr>
                <w:rFonts w:hint="eastAsia" w:ascii="仿宋_GB2312" w:eastAsia="仿宋_GB2312"/>
                <w:sz w:val="24"/>
              </w:rPr>
              <w:t>财政局</w:t>
            </w:r>
            <w:r>
              <w:rPr>
                <w:rFonts w:hint="eastAsia" w:ascii="仿宋_GB2312" w:eastAsia="仿宋_GB2312"/>
                <w:sz w:val="24"/>
                <w:lang w:eastAsia="zh-CN"/>
              </w:rPr>
              <w:t>、安溪</w:t>
            </w:r>
            <w:r>
              <w:rPr>
                <w:rFonts w:hint="eastAsia" w:ascii="仿宋_GB2312" w:eastAsia="仿宋_GB2312"/>
                <w:sz w:val="24"/>
              </w:rPr>
              <w:t>生态环境局</w:t>
            </w:r>
            <w:r>
              <w:rPr>
                <w:rFonts w:hint="eastAsia" w:ascii="仿宋_GB2312" w:eastAsia="仿宋_GB2312"/>
                <w:sz w:val="24"/>
                <w:lang w:val="en-US" w:eastAsia="zh-CN"/>
              </w:rPr>
              <w:t>牵头指导，</w:t>
            </w:r>
            <w:r>
              <w:rPr>
                <w:rFonts w:hint="eastAsia" w:ascii="仿宋_GB2312" w:eastAsia="仿宋_GB2312"/>
                <w:sz w:val="24"/>
                <w:lang w:eastAsia="zh-CN"/>
              </w:rPr>
              <w:t>县</w:t>
            </w:r>
            <w:r>
              <w:rPr>
                <w:rFonts w:hint="eastAsia" w:ascii="仿宋_GB2312" w:eastAsia="仿宋_GB2312"/>
                <w:sz w:val="24"/>
              </w:rPr>
              <w:t>农业农村局、</w:t>
            </w:r>
            <w:r>
              <w:rPr>
                <w:rFonts w:hint="eastAsia" w:ascii="仿宋_GB2312" w:eastAsia="仿宋_GB2312"/>
                <w:sz w:val="24"/>
                <w:lang w:eastAsia="zh-CN"/>
              </w:rPr>
              <w:t>资源</w:t>
            </w:r>
            <w:r>
              <w:rPr>
                <w:rFonts w:hint="eastAsia" w:ascii="仿宋_GB2312" w:eastAsia="仿宋_GB2312"/>
                <w:sz w:val="24"/>
              </w:rPr>
              <w:t>局、水利局配合。</w:t>
            </w:r>
          </w:p>
        </w:tc>
        <w:tc>
          <w:tcPr>
            <w:tcW w:w="1473" w:type="dxa"/>
            <w:vAlign w:val="center"/>
          </w:tcPr>
          <w:p>
            <w:pPr>
              <w:topLinePunct/>
              <w:autoSpaceDE w:val="0"/>
              <w:adjustRightInd w:val="0"/>
              <w:snapToGrid w:val="0"/>
              <w:jc w:val="both"/>
              <w:rPr>
                <w:rFonts w:ascii="仿宋_GB2312" w:eastAsia="仿宋_GB2312"/>
                <w:sz w:val="24"/>
              </w:rPr>
            </w:pPr>
            <w:r>
              <w:rPr>
                <w:rFonts w:hint="eastAsia" w:ascii="仿宋_GB2312" w:eastAsia="仿宋_GB2312"/>
                <w:sz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50" w:type="dxa"/>
            <w:vAlign w:val="center"/>
          </w:tcPr>
          <w:p>
            <w:pPr>
              <w:topLinePunct/>
              <w:autoSpaceDE w:val="0"/>
              <w:adjustRightInd w:val="0"/>
              <w:snapToGrid w:val="0"/>
              <w:jc w:val="center"/>
              <w:rPr>
                <w:rFonts w:hint="eastAsia" w:ascii="仿宋_GB2312" w:eastAsia="仿宋_GB2312"/>
                <w:sz w:val="24"/>
                <w:lang w:eastAsia="zh-CN"/>
              </w:rPr>
            </w:pPr>
            <w:r>
              <w:rPr>
                <w:rFonts w:hint="eastAsia" w:ascii="仿宋_GB2312" w:eastAsia="仿宋_GB2312"/>
                <w:sz w:val="24"/>
                <w:lang w:val="en-US" w:eastAsia="zh-CN"/>
              </w:rPr>
              <w:t>6</w:t>
            </w:r>
          </w:p>
        </w:tc>
        <w:tc>
          <w:tcPr>
            <w:tcW w:w="1379" w:type="dxa"/>
            <w:vMerge w:val="restart"/>
            <w:vAlign w:val="center"/>
          </w:tcPr>
          <w:p>
            <w:pPr>
              <w:topLinePunct/>
              <w:autoSpaceDE w:val="0"/>
              <w:adjustRightInd w:val="0"/>
              <w:snapToGrid w:val="0"/>
              <w:jc w:val="both"/>
              <w:rPr>
                <w:rFonts w:ascii="仿宋_GB2312" w:eastAsia="仿宋_GB2312"/>
                <w:sz w:val="24"/>
              </w:rPr>
            </w:pPr>
            <w:r>
              <w:rPr>
                <w:rFonts w:hint="eastAsia" w:ascii="仿宋_GB2312" w:eastAsia="仿宋_GB2312"/>
                <w:sz w:val="24"/>
              </w:rPr>
              <w:t>优化审批</w:t>
            </w:r>
          </w:p>
        </w:tc>
        <w:tc>
          <w:tcPr>
            <w:tcW w:w="7369" w:type="dxa"/>
            <w:vAlign w:val="center"/>
          </w:tcPr>
          <w:p>
            <w:pPr>
              <w:topLinePunct/>
              <w:autoSpaceDE w:val="0"/>
              <w:adjustRightInd w:val="0"/>
              <w:snapToGrid w:val="0"/>
              <w:jc w:val="both"/>
              <w:rPr>
                <w:rFonts w:ascii="仿宋_GB2312" w:eastAsia="仿宋_GB2312"/>
                <w:sz w:val="24"/>
              </w:rPr>
            </w:pPr>
            <w:r>
              <w:rPr>
                <w:rFonts w:hint="eastAsia" w:ascii="仿宋_GB2312" w:eastAsia="仿宋_GB2312"/>
                <w:sz w:val="24"/>
              </w:rPr>
              <w:t>以县为单位，将治理项目整体打包、统一报批相关审批手续，支持采取容缺受理等措施，依法优化项目审批事项。</w:t>
            </w:r>
          </w:p>
        </w:tc>
        <w:tc>
          <w:tcPr>
            <w:tcW w:w="2965" w:type="dxa"/>
            <w:vAlign w:val="center"/>
          </w:tcPr>
          <w:p>
            <w:pPr>
              <w:adjustRightInd w:val="0"/>
              <w:snapToGrid w:val="0"/>
              <w:jc w:val="both"/>
              <w:rPr>
                <w:rFonts w:hint="eastAsia" w:ascii="仿宋_GB2312" w:eastAsia="仿宋_GB2312"/>
                <w:sz w:val="24"/>
              </w:rPr>
            </w:pPr>
            <w:r>
              <w:rPr>
                <w:rFonts w:hint="eastAsia" w:ascii="仿宋_GB2312" w:eastAsia="仿宋_GB2312"/>
                <w:sz w:val="24"/>
                <w:lang w:eastAsia="zh-CN"/>
              </w:rPr>
              <w:t>县</w:t>
            </w:r>
            <w:r>
              <w:rPr>
                <w:rFonts w:hint="eastAsia" w:ascii="仿宋_GB2312" w:eastAsia="仿宋_GB2312"/>
                <w:sz w:val="24"/>
              </w:rPr>
              <w:t>发改</w:t>
            </w:r>
            <w:r>
              <w:rPr>
                <w:rFonts w:hint="eastAsia" w:ascii="仿宋_GB2312" w:eastAsia="仿宋_GB2312"/>
                <w:sz w:val="24"/>
                <w:lang w:eastAsia="zh-CN"/>
              </w:rPr>
              <w:t>局</w:t>
            </w:r>
            <w:r>
              <w:rPr>
                <w:rFonts w:hint="eastAsia" w:ascii="仿宋_GB2312" w:eastAsia="仿宋_GB2312"/>
                <w:sz w:val="24"/>
              </w:rPr>
              <w:t>、</w:t>
            </w:r>
            <w:r>
              <w:rPr>
                <w:rFonts w:hint="eastAsia" w:ascii="仿宋_GB2312" w:eastAsia="仿宋_GB2312"/>
                <w:sz w:val="24"/>
                <w:lang w:eastAsia="zh-CN"/>
              </w:rPr>
              <w:t>安溪</w:t>
            </w:r>
            <w:r>
              <w:rPr>
                <w:rFonts w:hint="eastAsia" w:ascii="仿宋_GB2312" w:eastAsia="仿宋_GB2312"/>
                <w:sz w:val="24"/>
              </w:rPr>
              <w:t>生态环境局、</w:t>
            </w:r>
            <w:r>
              <w:rPr>
                <w:rFonts w:hint="eastAsia" w:ascii="仿宋_GB2312" w:eastAsia="仿宋_GB2312"/>
                <w:sz w:val="24"/>
                <w:lang w:eastAsia="zh-CN"/>
              </w:rPr>
              <w:t>资源</w:t>
            </w:r>
            <w:r>
              <w:rPr>
                <w:rFonts w:hint="eastAsia" w:ascii="仿宋_GB2312" w:eastAsia="仿宋_GB2312"/>
                <w:sz w:val="24"/>
              </w:rPr>
              <w:t>局等按职责分工</w:t>
            </w:r>
          </w:p>
        </w:tc>
        <w:tc>
          <w:tcPr>
            <w:tcW w:w="1473" w:type="dxa"/>
            <w:vAlign w:val="center"/>
          </w:tcPr>
          <w:p>
            <w:pPr>
              <w:topLinePunct/>
              <w:autoSpaceDE w:val="0"/>
              <w:adjustRightInd w:val="0"/>
              <w:snapToGrid w:val="0"/>
              <w:jc w:val="both"/>
              <w:rPr>
                <w:rFonts w:ascii="仿宋_GB2312" w:eastAsia="仿宋_GB2312"/>
                <w:sz w:val="24"/>
              </w:rPr>
            </w:pPr>
            <w:r>
              <w:rPr>
                <w:rFonts w:hint="eastAsia" w:ascii="仿宋_GB2312" w:eastAsia="仿宋_GB2312"/>
                <w:sz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750" w:type="dxa"/>
            <w:vAlign w:val="center"/>
          </w:tcPr>
          <w:p>
            <w:pPr>
              <w:topLinePunct/>
              <w:autoSpaceDE w:val="0"/>
              <w:adjustRightInd w:val="0"/>
              <w:snapToGrid w:val="0"/>
              <w:jc w:val="center"/>
              <w:rPr>
                <w:rFonts w:hint="default" w:ascii="仿宋_GB2312" w:eastAsia="仿宋_GB2312"/>
                <w:sz w:val="24"/>
                <w:lang w:val="en-US" w:eastAsia="zh-CN"/>
              </w:rPr>
            </w:pPr>
            <w:r>
              <w:rPr>
                <w:rFonts w:hint="eastAsia" w:ascii="仿宋_GB2312" w:eastAsia="仿宋_GB2312"/>
                <w:sz w:val="24"/>
                <w:lang w:val="en-US" w:eastAsia="zh-CN"/>
              </w:rPr>
              <w:t>7</w:t>
            </w:r>
          </w:p>
        </w:tc>
        <w:tc>
          <w:tcPr>
            <w:tcW w:w="1379" w:type="dxa"/>
            <w:vMerge w:val="continue"/>
            <w:vAlign w:val="center"/>
          </w:tcPr>
          <w:p>
            <w:pPr>
              <w:jc w:val="both"/>
            </w:pPr>
          </w:p>
        </w:tc>
        <w:tc>
          <w:tcPr>
            <w:tcW w:w="7369" w:type="dxa"/>
            <w:vAlign w:val="center"/>
          </w:tcPr>
          <w:p>
            <w:pPr>
              <w:topLinePunct/>
              <w:autoSpaceDE w:val="0"/>
              <w:adjustRightInd w:val="0"/>
              <w:snapToGrid w:val="0"/>
              <w:jc w:val="both"/>
              <w:rPr>
                <w:rFonts w:ascii="仿宋_GB2312" w:eastAsia="仿宋_GB2312"/>
                <w:sz w:val="24"/>
              </w:rPr>
            </w:pPr>
            <w:r>
              <w:rPr>
                <w:rFonts w:hint="eastAsia" w:ascii="仿宋_GB2312" w:eastAsia="仿宋_GB2312"/>
                <w:sz w:val="24"/>
              </w:rPr>
              <w:t>以</w:t>
            </w:r>
            <w:r>
              <w:rPr>
                <w:rFonts w:hint="eastAsia" w:ascii="仿宋_GB2312" w:eastAsia="仿宋_GB2312"/>
                <w:sz w:val="24"/>
                <w:lang w:eastAsia="zh-CN"/>
              </w:rPr>
              <w:t>乡镇</w:t>
            </w:r>
            <w:r>
              <w:rPr>
                <w:rFonts w:hint="eastAsia" w:ascii="仿宋_GB2312" w:eastAsia="仿宋_GB2312"/>
                <w:sz w:val="24"/>
              </w:rPr>
              <w:t>为单位，逐村确定厂站选址，</w:t>
            </w:r>
            <w:r>
              <w:rPr>
                <w:rFonts w:hint="eastAsia" w:ascii="仿宋_GB2312" w:eastAsia="仿宋_GB2312"/>
                <w:sz w:val="24"/>
                <w:lang w:eastAsia="zh-CN"/>
              </w:rPr>
              <w:t>并应纳入村庄规划之中，</w:t>
            </w:r>
            <w:r>
              <w:rPr>
                <w:rFonts w:hint="eastAsia" w:ascii="仿宋_GB2312" w:eastAsia="仿宋_GB2312"/>
                <w:sz w:val="24"/>
              </w:rPr>
              <w:t>绘制勘测定界图，</w:t>
            </w:r>
            <w:r>
              <w:rPr>
                <w:rFonts w:hint="eastAsia" w:ascii="仿宋_GB2312" w:eastAsia="仿宋_GB2312"/>
                <w:sz w:val="24"/>
                <w:lang w:eastAsia="zh-CN"/>
              </w:rPr>
              <w:t>根据项目实际报批土地</w:t>
            </w:r>
            <w:r>
              <w:rPr>
                <w:rFonts w:hint="eastAsia" w:ascii="仿宋_GB2312" w:eastAsia="仿宋_GB2312"/>
                <w:sz w:val="24"/>
              </w:rPr>
              <w:t>。</w:t>
            </w:r>
          </w:p>
        </w:tc>
        <w:tc>
          <w:tcPr>
            <w:tcW w:w="2965" w:type="dxa"/>
            <w:vAlign w:val="center"/>
          </w:tcPr>
          <w:p>
            <w:pPr>
              <w:jc w:val="both"/>
              <w:rPr>
                <w:rFonts w:hint="default" w:eastAsia="仿宋_GB2312"/>
                <w:lang w:val="en-US" w:eastAsia="zh-CN"/>
              </w:rPr>
            </w:pPr>
            <w:r>
              <w:rPr>
                <w:rFonts w:hint="eastAsia" w:ascii="仿宋_GB2312" w:eastAsia="仿宋_GB2312"/>
                <w:sz w:val="24"/>
                <w:lang w:eastAsia="zh-CN"/>
              </w:rPr>
              <w:t>各有关乡镇牵头，县</w:t>
            </w:r>
            <w:r>
              <w:rPr>
                <w:rFonts w:hint="eastAsia" w:ascii="仿宋_GB2312" w:eastAsia="仿宋_GB2312"/>
                <w:sz w:val="24"/>
                <w:lang w:val="en-US" w:eastAsia="zh-CN"/>
              </w:rPr>
              <w:t>资源局、林业局配合</w:t>
            </w:r>
          </w:p>
        </w:tc>
        <w:tc>
          <w:tcPr>
            <w:tcW w:w="1473" w:type="dxa"/>
            <w:vAlign w:val="center"/>
          </w:tcPr>
          <w:p>
            <w:pPr>
              <w:topLinePunct/>
              <w:autoSpaceDE w:val="0"/>
              <w:adjustRightInd w:val="0"/>
              <w:snapToGrid w:val="0"/>
              <w:jc w:val="both"/>
              <w:rPr>
                <w:rFonts w:ascii="仿宋_GB2312" w:eastAsia="仿宋_GB2312"/>
                <w:sz w:val="24"/>
              </w:rPr>
            </w:pPr>
            <w:r>
              <w:rPr>
                <w:rFonts w:hint="eastAsia" w:ascii="仿宋_GB2312" w:eastAsia="仿宋_GB2312"/>
                <w:sz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0" w:type="dxa"/>
            <w:vAlign w:val="center"/>
          </w:tcPr>
          <w:p>
            <w:pPr>
              <w:topLinePunct/>
              <w:autoSpaceDE w:val="0"/>
              <w:adjustRightInd w:val="0"/>
              <w:snapToGrid w:val="0"/>
              <w:jc w:val="center"/>
              <w:rPr>
                <w:rFonts w:hint="default" w:ascii="仿宋_GB2312" w:eastAsia="仿宋_GB2312"/>
                <w:sz w:val="24"/>
                <w:lang w:val="en-US" w:eastAsia="zh-CN"/>
              </w:rPr>
            </w:pPr>
            <w:r>
              <w:rPr>
                <w:rFonts w:hint="eastAsia" w:ascii="仿宋_GB2312" w:eastAsia="仿宋_GB2312"/>
                <w:sz w:val="24"/>
                <w:lang w:val="en-US" w:eastAsia="zh-CN"/>
              </w:rPr>
              <w:t>8</w:t>
            </w:r>
          </w:p>
        </w:tc>
        <w:tc>
          <w:tcPr>
            <w:tcW w:w="1379" w:type="dxa"/>
            <w:vAlign w:val="center"/>
          </w:tcPr>
          <w:p>
            <w:pPr>
              <w:topLinePunct/>
              <w:autoSpaceDE w:val="0"/>
              <w:adjustRightInd w:val="0"/>
              <w:snapToGrid w:val="0"/>
              <w:jc w:val="both"/>
              <w:rPr>
                <w:rFonts w:ascii="仿宋_GB2312" w:eastAsia="仿宋_GB2312"/>
                <w:sz w:val="24"/>
              </w:rPr>
            </w:pPr>
            <w:r>
              <w:rPr>
                <w:rFonts w:hint="eastAsia" w:ascii="仿宋_GB2312" w:eastAsia="仿宋_GB2312"/>
                <w:sz w:val="24"/>
              </w:rPr>
              <w:t>用地政策</w:t>
            </w:r>
          </w:p>
        </w:tc>
        <w:tc>
          <w:tcPr>
            <w:tcW w:w="7369" w:type="dxa"/>
            <w:vAlign w:val="center"/>
          </w:tcPr>
          <w:p>
            <w:pPr>
              <w:topLinePunct/>
              <w:autoSpaceDE w:val="0"/>
              <w:adjustRightInd w:val="0"/>
              <w:snapToGrid w:val="0"/>
              <w:jc w:val="both"/>
              <w:rPr>
                <w:rFonts w:ascii="仿宋_GB2312" w:eastAsia="仿宋_GB2312"/>
                <w:sz w:val="24"/>
              </w:rPr>
            </w:pPr>
            <w:r>
              <w:rPr>
                <w:rFonts w:hint="eastAsia" w:ascii="仿宋_GB2312" w:eastAsia="仿宋_GB2312"/>
                <w:sz w:val="24"/>
              </w:rPr>
              <w:t>农村生活污水治理项目依法使用国有建设用地或集体建设用地，新增建设用地计划指标按规定由市人民政府分类统筹安排。各地可在乡镇国土空间规划和村庄规划中预留不超过5％的建设用地机动指标，用于农村公共公益设施等项目建设用地需求，并开辟用地审批绿色通道，支持单列审批。</w:t>
            </w:r>
          </w:p>
        </w:tc>
        <w:tc>
          <w:tcPr>
            <w:tcW w:w="2965" w:type="dxa"/>
            <w:vAlign w:val="center"/>
          </w:tcPr>
          <w:p>
            <w:pPr>
              <w:topLinePunct/>
              <w:autoSpaceDE w:val="0"/>
              <w:adjustRightInd w:val="0"/>
              <w:snapToGrid w:val="0"/>
              <w:jc w:val="both"/>
              <w:rPr>
                <w:rFonts w:ascii="仿宋_GB2312" w:eastAsia="仿宋_GB2312"/>
                <w:sz w:val="24"/>
              </w:rPr>
            </w:pPr>
            <w:r>
              <w:rPr>
                <w:rFonts w:hint="eastAsia" w:ascii="仿宋_GB2312" w:eastAsia="仿宋_GB2312"/>
                <w:sz w:val="24"/>
                <w:lang w:eastAsia="zh-CN"/>
              </w:rPr>
              <w:t>县资源</w:t>
            </w:r>
            <w:r>
              <w:rPr>
                <w:rFonts w:hint="eastAsia" w:ascii="仿宋_GB2312" w:eastAsia="仿宋_GB2312"/>
                <w:sz w:val="24"/>
              </w:rPr>
              <w:t>局</w:t>
            </w:r>
          </w:p>
        </w:tc>
        <w:tc>
          <w:tcPr>
            <w:tcW w:w="1473" w:type="dxa"/>
            <w:vAlign w:val="center"/>
          </w:tcPr>
          <w:p>
            <w:pPr>
              <w:topLinePunct/>
              <w:autoSpaceDE w:val="0"/>
              <w:adjustRightInd w:val="0"/>
              <w:snapToGrid w:val="0"/>
              <w:jc w:val="both"/>
              <w:rPr>
                <w:rFonts w:ascii="仿宋_GB2312" w:eastAsia="仿宋_GB2312"/>
                <w:sz w:val="24"/>
              </w:rPr>
            </w:pPr>
            <w:r>
              <w:rPr>
                <w:rFonts w:hint="eastAsia" w:ascii="仿宋_GB2312" w:eastAsia="仿宋_GB2312"/>
                <w:sz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50" w:type="dxa"/>
            <w:vAlign w:val="center"/>
          </w:tcPr>
          <w:p>
            <w:pPr>
              <w:topLinePunct/>
              <w:autoSpaceDE w:val="0"/>
              <w:adjustRightInd w:val="0"/>
              <w:snapToGrid w:val="0"/>
              <w:jc w:val="center"/>
              <w:rPr>
                <w:rFonts w:hint="default" w:ascii="仿宋_GB2312" w:eastAsia="仿宋_GB2312"/>
                <w:sz w:val="24"/>
                <w:lang w:val="en-US" w:eastAsia="zh-CN"/>
              </w:rPr>
            </w:pPr>
            <w:r>
              <w:rPr>
                <w:rFonts w:hint="eastAsia" w:ascii="仿宋_GB2312" w:eastAsia="仿宋_GB2312"/>
                <w:sz w:val="24"/>
                <w:lang w:val="en-US" w:eastAsia="zh-CN"/>
              </w:rPr>
              <w:t>9</w:t>
            </w:r>
          </w:p>
        </w:tc>
        <w:tc>
          <w:tcPr>
            <w:tcW w:w="1379" w:type="dxa"/>
            <w:vAlign w:val="center"/>
          </w:tcPr>
          <w:p>
            <w:pPr>
              <w:topLinePunct/>
              <w:autoSpaceDE w:val="0"/>
              <w:adjustRightInd w:val="0"/>
              <w:snapToGrid w:val="0"/>
              <w:jc w:val="both"/>
              <w:rPr>
                <w:rFonts w:ascii="仿宋_GB2312" w:eastAsia="仿宋_GB2312"/>
                <w:sz w:val="24"/>
              </w:rPr>
            </w:pPr>
            <w:r>
              <w:rPr>
                <w:rFonts w:hint="eastAsia" w:ascii="仿宋_GB2312" w:eastAsia="仿宋_GB2312"/>
                <w:sz w:val="24"/>
              </w:rPr>
              <w:t>排污权</w:t>
            </w:r>
          </w:p>
          <w:p>
            <w:pPr>
              <w:topLinePunct/>
              <w:autoSpaceDE w:val="0"/>
              <w:adjustRightInd w:val="0"/>
              <w:snapToGrid w:val="0"/>
              <w:jc w:val="both"/>
              <w:rPr>
                <w:rFonts w:ascii="仿宋_GB2312" w:eastAsia="仿宋_GB2312"/>
                <w:sz w:val="24"/>
              </w:rPr>
            </w:pPr>
            <w:r>
              <w:rPr>
                <w:rFonts w:hint="eastAsia" w:ascii="仿宋_GB2312" w:eastAsia="仿宋_GB2312"/>
                <w:sz w:val="24"/>
              </w:rPr>
              <w:t>政策</w:t>
            </w:r>
          </w:p>
        </w:tc>
        <w:tc>
          <w:tcPr>
            <w:tcW w:w="7369" w:type="dxa"/>
            <w:vAlign w:val="center"/>
          </w:tcPr>
          <w:p>
            <w:pPr>
              <w:keepNext/>
              <w:keepLines/>
              <w:topLinePunct/>
              <w:autoSpaceDE w:val="0"/>
              <w:adjustRightInd w:val="0"/>
              <w:snapToGrid w:val="0"/>
              <w:spacing w:line="300" w:lineRule="exact"/>
              <w:jc w:val="both"/>
              <w:rPr>
                <w:rFonts w:ascii="仿宋_GB2312" w:eastAsia="仿宋_GB2312"/>
                <w:sz w:val="24"/>
              </w:rPr>
            </w:pPr>
            <w:r>
              <w:rPr>
                <w:rFonts w:hint="eastAsia" w:ascii="仿宋_GB2312" w:eastAsia="仿宋_GB2312"/>
                <w:sz w:val="24"/>
              </w:rPr>
              <w:t>将农村生活污水治理形成的“可监测、可统计、可考核”的主要污染物削减量纳入排污权交易范围。</w:t>
            </w:r>
          </w:p>
        </w:tc>
        <w:tc>
          <w:tcPr>
            <w:tcW w:w="2965" w:type="dxa"/>
            <w:vAlign w:val="center"/>
          </w:tcPr>
          <w:p>
            <w:pPr>
              <w:jc w:val="both"/>
              <w:rPr>
                <w:rFonts w:ascii="仿宋_GB2312" w:eastAsia="仿宋_GB2312"/>
                <w:sz w:val="24"/>
              </w:rPr>
            </w:pPr>
            <w:r>
              <w:rPr>
                <w:rFonts w:hint="eastAsia" w:ascii="仿宋_GB2312" w:eastAsia="仿宋_GB2312"/>
                <w:sz w:val="24"/>
                <w:lang w:eastAsia="zh-CN"/>
              </w:rPr>
              <w:t>安溪</w:t>
            </w:r>
            <w:r>
              <w:rPr>
                <w:rFonts w:hint="eastAsia" w:ascii="仿宋_GB2312" w:eastAsia="仿宋_GB2312"/>
                <w:sz w:val="24"/>
              </w:rPr>
              <w:t>生态环境局</w:t>
            </w:r>
          </w:p>
        </w:tc>
        <w:tc>
          <w:tcPr>
            <w:tcW w:w="1473" w:type="dxa"/>
            <w:vAlign w:val="center"/>
          </w:tcPr>
          <w:p>
            <w:pPr>
              <w:topLinePunct/>
              <w:autoSpaceDE w:val="0"/>
              <w:adjustRightInd w:val="0"/>
              <w:snapToGrid w:val="0"/>
              <w:jc w:val="both"/>
              <w:rPr>
                <w:rFonts w:ascii="仿宋_GB2312" w:eastAsia="仿宋_GB2312"/>
                <w:sz w:val="24"/>
              </w:rPr>
            </w:pPr>
            <w:r>
              <w:rPr>
                <w:rFonts w:hint="eastAsia" w:ascii="仿宋_GB2312" w:eastAsia="仿宋_GB2312"/>
                <w:sz w:val="24"/>
              </w:rPr>
              <w:t>202</w:t>
            </w:r>
            <w:r>
              <w:rPr>
                <w:rFonts w:hint="eastAsia" w:ascii="仿宋_GB2312" w:eastAsia="仿宋_GB2312"/>
                <w:sz w:val="24"/>
                <w:lang w:val="en-US" w:eastAsia="zh-CN"/>
              </w:rPr>
              <w:t>2</w:t>
            </w:r>
            <w:r>
              <w:rPr>
                <w:rFonts w:hint="eastAsia" w:ascii="仿宋_GB2312" w:eastAsia="仿宋_GB2312"/>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50" w:type="dxa"/>
            <w:vAlign w:val="center"/>
          </w:tcPr>
          <w:p>
            <w:pPr>
              <w:topLinePunct/>
              <w:autoSpaceDE w:val="0"/>
              <w:adjustRightInd w:val="0"/>
              <w:snapToGrid w:val="0"/>
              <w:jc w:val="center"/>
              <w:rPr>
                <w:rFonts w:hint="default" w:ascii="仿宋_GB2312" w:eastAsia="仿宋_GB2312"/>
                <w:sz w:val="24"/>
                <w:lang w:val="en-US" w:eastAsia="zh-CN"/>
              </w:rPr>
            </w:pPr>
            <w:r>
              <w:rPr>
                <w:rFonts w:hint="eastAsia" w:ascii="仿宋_GB2312" w:eastAsia="仿宋_GB2312" w:cs="Times New Roman"/>
                <w:sz w:val="24"/>
                <w:lang w:val="en-US" w:eastAsia="zh-CN"/>
              </w:rPr>
              <w:t>10</w:t>
            </w:r>
          </w:p>
        </w:tc>
        <w:tc>
          <w:tcPr>
            <w:tcW w:w="1379" w:type="dxa"/>
            <w:vAlign w:val="center"/>
          </w:tcPr>
          <w:p>
            <w:pPr>
              <w:topLinePunct/>
              <w:autoSpaceDE w:val="0"/>
              <w:adjustRightInd w:val="0"/>
              <w:snapToGrid w:val="0"/>
              <w:jc w:val="both"/>
              <w:rPr>
                <w:rFonts w:hint="eastAsia" w:ascii="仿宋_GB2312" w:eastAsia="仿宋_GB2312"/>
                <w:sz w:val="24"/>
              </w:rPr>
            </w:pPr>
            <w:r>
              <w:rPr>
                <w:rFonts w:hint="eastAsia" w:ascii="仿宋_GB2312" w:eastAsia="仿宋_GB2312" w:cs="Times New Roman"/>
                <w:sz w:val="24"/>
              </w:rPr>
              <w:t>协同推进</w:t>
            </w:r>
          </w:p>
        </w:tc>
        <w:tc>
          <w:tcPr>
            <w:tcW w:w="7369" w:type="dxa"/>
            <w:vAlign w:val="center"/>
          </w:tcPr>
          <w:p>
            <w:pPr>
              <w:topLinePunct/>
              <w:autoSpaceDE w:val="0"/>
              <w:adjustRightInd w:val="0"/>
              <w:snapToGrid w:val="0"/>
              <w:jc w:val="both"/>
              <w:rPr>
                <w:rFonts w:hint="eastAsia" w:ascii="仿宋_GB2312" w:eastAsia="仿宋_GB2312"/>
                <w:sz w:val="24"/>
              </w:rPr>
            </w:pPr>
            <w:r>
              <w:rPr>
                <w:rFonts w:hint="eastAsia" w:ascii="仿宋_GB2312" w:eastAsia="仿宋_GB2312" w:cs="Times New Roman"/>
                <w:sz w:val="24"/>
              </w:rPr>
              <w:t>推动尾水资源利用。鼓励高标准农田建设、农田水利建设与农村生活污水治理相结合，统一规划、一体设计，实现农业农村水资源的良性循环。</w:t>
            </w:r>
          </w:p>
        </w:tc>
        <w:tc>
          <w:tcPr>
            <w:tcW w:w="2965" w:type="dxa"/>
            <w:vAlign w:val="center"/>
          </w:tcPr>
          <w:p>
            <w:pPr>
              <w:topLinePunct/>
              <w:autoSpaceDE w:val="0"/>
              <w:adjustRightInd w:val="0"/>
              <w:snapToGrid w:val="0"/>
              <w:jc w:val="both"/>
              <w:rPr>
                <w:rFonts w:hint="eastAsia" w:ascii="仿宋_GB2312" w:eastAsia="仿宋_GB2312"/>
                <w:sz w:val="24"/>
              </w:rPr>
            </w:pPr>
            <w:r>
              <w:rPr>
                <w:rFonts w:hint="eastAsia" w:ascii="仿宋_GB2312" w:eastAsia="仿宋_GB2312" w:cs="Times New Roman"/>
                <w:sz w:val="24"/>
                <w:lang w:eastAsia="zh-CN"/>
              </w:rPr>
              <w:t>县</w:t>
            </w:r>
            <w:r>
              <w:rPr>
                <w:rFonts w:hint="eastAsia" w:ascii="仿宋_GB2312" w:eastAsia="仿宋_GB2312" w:cs="Times New Roman"/>
                <w:sz w:val="24"/>
              </w:rPr>
              <w:t>农业农村局、</w:t>
            </w:r>
            <w:r>
              <w:rPr>
                <w:rFonts w:hint="eastAsia" w:ascii="仿宋_GB2312" w:eastAsia="仿宋_GB2312" w:cs="Times New Roman"/>
                <w:sz w:val="24"/>
                <w:lang w:eastAsia="zh-CN"/>
              </w:rPr>
              <w:t>安溪</w:t>
            </w:r>
            <w:r>
              <w:rPr>
                <w:rFonts w:hint="eastAsia" w:ascii="仿宋_GB2312" w:eastAsia="仿宋_GB2312" w:cs="Times New Roman"/>
                <w:sz w:val="24"/>
              </w:rPr>
              <w:t>生态环境局、水利局、城管局等按职责分工</w:t>
            </w:r>
          </w:p>
        </w:tc>
        <w:tc>
          <w:tcPr>
            <w:tcW w:w="1473" w:type="dxa"/>
            <w:vAlign w:val="center"/>
          </w:tcPr>
          <w:p>
            <w:pPr>
              <w:topLinePunct/>
              <w:autoSpaceDE w:val="0"/>
              <w:adjustRightInd w:val="0"/>
              <w:snapToGrid w:val="0"/>
              <w:jc w:val="both"/>
              <w:rPr>
                <w:rFonts w:hint="eastAsia" w:ascii="仿宋_GB2312" w:eastAsia="仿宋_GB2312"/>
                <w:sz w:val="24"/>
              </w:rPr>
            </w:pPr>
            <w:r>
              <w:rPr>
                <w:rFonts w:hint="eastAsia" w:ascii="仿宋_GB2312" w:eastAsia="仿宋_GB2312" w:cs="Times New Roman"/>
                <w:sz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50" w:type="dxa"/>
            <w:vAlign w:val="center"/>
          </w:tcPr>
          <w:p>
            <w:pPr>
              <w:topLinePunct/>
              <w:autoSpaceDE w:val="0"/>
              <w:adjustRightInd w:val="0"/>
              <w:snapToGrid w:val="0"/>
              <w:jc w:val="center"/>
              <w:rPr>
                <w:rFonts w:hint="default" w:ascii="仿宋_GB2312" w:eastAsia="仿宋_GB2312"/>
                <w:sz w:val="24"/>
                <w:highlight w:val="none"/>
                <w:lang w:val="en-US" w:eastAsia="zh-CN"/>
              </w:rPr>
            </w:pPr>
            <w:r>
              <w:rPr>
                <w:rFonts w:hint="eastAsia" w:ascii="仿宋_GB2312" w:eastAsia="仿宋_GB2312"/>
                <w:sz w:val="24"/>
                <w:highlight w:val="none"/>
                <w:lang w:val="en-US" w:eastAsia="zh-CN"/>
              </w:rPr>
              <w:t>11</w:t>
            </w:r>
          </w:p>
        </w:tc>
        <w:tc>
          <w:tcPr>
            <w:tcW w:w="1379" w:type="dxa"/>
            <w:vAlign w:val="center"/>
          </w:tcPr>
          <w:p>
            <w:pPr>
              <w:topLinePunct/>
              <w:autoSpaceDE w:val="0"/>
              <w:adjustRightInd w:val="0"/>
              <w:snapToGrid w:val="0"/>
              <w:jc w:val="both"/>
              <w:rPr>
                <w:rFonts w:ascii="仿宋_GB2312" w:eastAsia="仿宋_GB2312"/>
                <w:sz w:val="24"/>
                <w:highlight w:val="none"/>
              </w:rPr>
            </w:pPr>
            <w:r>
              <w:rPr>
                <w:rFonts w:hint="eastAsia" w:ascii="仿宋_GB2312" w:eastAsia="仿宋_GB2312"/>
                <w:sz w:val="24"/>
                <w:highlight w:val="none"/>
              </w:rPr>
              <w:t>工作推进</w:t>
            </w:r>
          </w:p>
          <w:p>
            <w:pPr>
              <w:topLinePunct/>
              <w:autoSpaceDE w:val="0"/>
              <w:adjustRightInd w:val="0"/>
              <w:snapToGrid w:val="0"/>
              <w:jc w:val="both"/>
              <w:rPr>
                <w:rFonts w:ascii="仿宋_GB2312" w:eastAsia="仿宋_GB2312"/>
                <w:sz w:val="24"/>
                <w:highlight w:val="none"/>
              </w:rPr>
            </w:pPr>
            <w:r>
              <w:rPr>
                <w:rFonts w:hint="eastAsia" w:ascii="仿宋_GB2312" w:eastAsia="仿宋_GB2312"/>
                <w:sz w:val="24"/>
                <w:highlight w:val="none"/>
              </w:rPr>
              <w:t>机制</w:t>
            </w:r>
          </w:p>
        </w:tc>
        <w:tc>
          <w:tcPr>
            <w:tcW w:w="7369" w:type="dxa"/>
            <w:vAlign w:val="center"/>
          </w:tcPr>
          <w:p>
            <w:pPr>
              <w:keepNext/>
              <w:keepLines/>
              <w:topLinePunct/>
              <w:autoSpaceDE w:val="0"/>
              <w:adjustRightInd w:val="0"/>
              <w:snapToGrid w:val="0"/>
              <w:spacing w:line="300" w:lineRule="exact"/>
              <w:jc w:val="both"/>
              <w:rPr>
                <w:rFonts w:hint="eastAsia" w:ascii="仿宋_GB2312" w:eastAsia="仿宋_GB2312"/>
                <w:sz w:val="24"/>
                <w:highlight w:val="none"/>
                <w:lang w:eastAsia="zh-CN"/>
              </w:rPr>
            </w:pPr>
            <w:r>
              <w:rPr>
                <w:rFonts w:hint="eastAsia" w:ascii="仿宋_GB2312" w:eastAsia="仿宋_GB2312"/>
                <w:sz w:val="24"/>
                <w:highlight w:val="none"/>
                <w:lang w:val="en-US" w:eastAsia="zh-CN"/>
              </w:rPr>
              <w:t>成立农村生活污水提升治理领导小组，组建工作</w:t>
            </w:r>
            <w:r>
              <w:rPr>
                <w:rFonts w:hint="eastAsia" w:ascii="仿宋_GB2312" w:eastAsia="仿宋_GB2312"/>
                <w:sz w:val="24"/>
                <w:highlight w:val="none"/>
              </w:rPr>
              <w:t>专班</w:t>
            </w:r>
            <w:r>
              <w:rPr>
                <w:rFonts w:hint="eastAsia" w:ascii="仿宋_GB2312" w:eastAsia="仿宋_GB2312"/>
                <w:sz w:val="24"/>
                <w:highlight w:val="none"/>
                <w:lang w:val="en-US" w:eastAsia="zh-CN"/>
              </w:rPr>
              <w:t>协调解决问题</w:t>
            </w:r>
            <w:r>
              <w:rPr>
                <w:rFonts w:hint="eastAsia" w:ascii="仿宋_GB2312" w:eastAsia="仿宋_GB2312"/>
                <w:sz w:val="24"/>
                <w:highlight w:val="none"/>
              </w:rPr>
              <w:t>推进</w:t>
            </w:r>
            <w:r>
              <w:rPr>
                <w:rFonts w:hint="eastAsia" w:ascii="仿宋_GB2312" w:eastAsia="仿宋_GB2312"/>
                <w:sz w:val="24"/>
                <w:highlight w:val="none"/>
                <w:lang w:val="en-US" w:eastAsia="zh-CN"/>
              </w:rPr>
              <w:t>工作</w:t>
            </w:r>
            <w:r>
              <w:rPr>
                <w:rFonts w:hint="eastAsia" w:ascii="仿宋_GB2312" w:eastAsia="仿宋_GB2312"/>
                <w:sz w:val="24"/>
                <w:highlight w:val="none"/>
                <w:lang w:eastAsia="zh-CN"/>
              </w:rPr>
              <w:t>。</w:t>
            </w:r>
          </w:p>
        </w:tc>
        <w:tc>
          <w:tcPr>
            <w:tcW w:w="2965" w:type="dxa"/>
            <w:vAlign w:val="center"/>
          </w:tcPr>
          <w:p>
            <w:pPr>
              <w:topLinePunct/>
              <w:autoSpaceDE w:val="0"/>
              <w:adjustRightInd w:val="0"/>
              <w:snapToGrid w:val="0"/>
              <w:jc w:val="both"/>
              <w:rPr>
                <w:rFonts w:ascii="仿宋_GB2312" w:eastAsia="仿宋_GB2312"/>
                <w:sz w:val="24"/>
                <w:highlight w:val="none"/>
              </w:rPr>
            </w:pPr>
            <w:r>
              <w:rPr>
                <w:rFonts w:hint="eastAsia" w:ascii="仿宋_GB2312" w:eastAsia="仿宋_GB2312"/>
                <w:sz w:val="24"/>
                <w:highlight w:val="none"/>
                <w:lang w:eastAsia="zh-CN"/>
              </w:rPr>
              <w:t>安溪</w:t>
            </w:r>
            <w:r>
              <w:rPr>
                <w:rFonts w:hint="eastAsia" w:ascii="仿宋_GB2312" w:eastAsia="仿宋_GB2312"/>
                <w:sz w:val="24"/>
                <w:highlight w:val="none"/>
              </w:rPr>
              <w:t>生态环境局</w:t>
            </w:r>
          </w:p>
        </w:tc>
        <w:tc>
          <w:tcPr>
            <w:tcW w:w="1473" w:type="dxa"/>
            <w:vAlign w:val="center"/>
          </w:tcPr>
          <w:p>
            <w:pPr>
              <w:topLinePunct/>
              <w:autoSpaceDE w:val="0"/>
              <w:adjustRightInd w:val="0"/>
              <w:snapToGrid w:val="0"/>
              <w:jc w:val="both"/>
              <w:rPr>
                <w:rFonts w:ascii="仿宋_GB2312" w:eastAsia="仿宋_GB2312"/>
                <w:sz w:val="24"/>
                <w:highlight w:val="none"/>
              </w:rPr>
            </w:pPr>
            <w:r>
              <w:rPr>
                <w:rFonts w:hint="eastAsia" w:ascii="仿宋_GB2312" w:eastAsia="仿宋_GB2312"/>
                <w:sz w:val="24"/>
                <w:highlight w:val="none"/>
              </w:rPr>
              <w:t>202</w:t>
            </w:r>
            <w:r>
              <w:rPr>
                <w:rFonts w:hint="eastAsia" w:ascii="仿宋_GB2312" w:eastAsia="仿宋_GB2312"/>
                <w:sz w:val="24"/>
                <w:highlight w:val="none"/>
                <w:lang w:val="en-US" w:eastAsia="zh-CN"/>
              </w:rPr>
              <w:t>2</w:t>
            </w:r>
            <w:r>
              <w:rPr>
                <w:rFonts w:hint="eastAsia" w:ascii="仿宋_GB2312" w:eastAsia="仿宋_GB2312"/>
                <w:sz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50" w:type="dxa"/>
            <w:vAlign w:val="center"/>
          </w:tcPr>
          <w:p>
            <w:pPr>
              <w:topLinePunct/>
              <w:autoSpaceDE w:val="0"/>
              <w:adjustRightInd w:val="0"/>
              <w:snapToGrid w:val="0"/>
              <w:jc w:val="center"/>
              <w:rPr>
                <w:rFonts w:hint="default" w:ascii="仿宋_GB2312" w:eastAsia="仿宋_GB2312"/>
                <w:sz w:val="24"/>
                <w:lang w:val="en-US" w:eastAsia="zh-CN"/>
              </w:rPr>
            </w:pPr>
            <w:r>
              <w:rPr>
                <w:rFonts w:hint="eastAsia" w:ascii="仿宋_GB2312" w:eastAsia="仿宋_GB2312"/>
                <w:sz w:val="24"/>
                <w:lang w:val="en-US" w:eastAsia="zh-CN"/>
              </w:rPr>
              <w:t>12</w:t>
            </w:r>
          </w:p>
        </w:tc>
        <w:tc>
          <w:tcPr>
            <w:tcW w:w="1379" w:type="dxa"/>
            <w:vMerge w:val="restart"/>
            <w:vAlign w:val="center"/>
          </w:tcPr>
          <w:p>
            <w:pPr>
              <w:topLinePunct/>
              <w:autoSpaceDE w:val="0"/>
              <w:adjustRightInd w:val="0"/>
              <w:snapToGrid w:val="0"/>
              <w:jc w:val="both"/>
              <w:rPr>
                <w:rFonts w:ascii="仿宋_GB2312" w:eastAsia="仿宋_GB2312"/>
                <w:sz w:val="24"/>
              </w:rPr>
            </w:pPr>
            <w:r>
              <w:rPr>
                <w:rFonts w:hint="eastAsia" w:ascii="仿宋_GB2312" w:eastAsia="仿宋_GB2312"/>
                <w:sz w:val="24"/>
              </w:rPr>
              <w:t>社会共治</w:t>
            </w:r>
          </w:p>
        </w:tc>
        <w:tc>
          <w:tcPr>
            <w:tcW w:w="7369" w:type="dxa"/>
            <w:vAlign w:val="center"/>
          </w:tcPr>
          <w:p>
            <w:pPr>
              <w:keepNext/>
              <w:keepLines/>
              <w:topLinePunct/>
              <w:autoSpaceDE w:val="0"/>
              <w:adjustRightInd w:val="0"/>
              <w:snapToGrid w:val="0"/>
              <w:spacing w:line="300" w:lineRule="exact"/>
              <w:jc w:val="both"/>
              <w:rPr>
                <w:rFonts w:ascii="仿宋_GB2312" w:eastAsia="仿宋_GB2312"/>
                <w:sz w:val="24"/>
              </w:rPr>
            </w:pPr>
            <w:r>
              <w:rPr>
                <w:rFonts w:hint="eastAsia" w:ascii="仿宋_GB2312" w:eastAsia="仿宋_GB2312"/>
                <w:sz w:val="24"/>
              </w:rPr>
              <w:t>将农村污水处理设施及管网的日常巡查纳入乡镇综合执法队伍工作范畴，鼓励优化整合河道专管员、国土城建环保协管员、道路协管员、护林员等职责，聘请专职人员，工作经费纳入财政预算。</w:t>
            </w:r>
          </w:p>
        </w:tc>
        <w:tc>
          <w:tcPr>
            <w:tcW w:w="2965" w:type="dxa"/>
            <w:vAlign w:val="center"/>
          </w:tcPr>
          <w:p>
            <w:pPr>
              <w:topLinePunct/>
              <w:autoSpaceDE w:val="0"/>
              <w:adjustRightInd w:val="0"/>
              <w:snapToGrid w:val="0"/>
              <w:jc w:val="both"/>
              <w:rPr>
                <w:rFonts w:hint="eastAsia" w:ascii="仿宋_GB2312" w:eastAsia="仿宋_GB2312"/>
                <w:sz w:val="24"/>
                <w:lang w:eastAsia="zh-CN"/>
              </w:rPr>
            </w:pPr>
            <w:r>
              <w:rPr>
                <w:rFonts w:hint="eastAsia" w:ascii="仿宋_GB2312" w:eastAsia="仿宋_GB2312"/>
                <w:sz w:val="24"/>
                <w:lang w:eastAsia="zh-CN"/>
              </w:rPr>
              <w:t>各有关乡镇</w:t>
            </w:r>
          </w:p>
        </w:tc>
        <w:tc>
          <w:tcPr>
            <w:tcW w:w="1473" w:type="dxa"/>
            <w:vAlign w:val="center"/>
          </w:tcPr>
          <w:p>
            <w:pPr>
              <w:topLinePunct/>
              <w:autoSpaceDE w:val="0"/>
              <w:adjustRightInd w:val="0"/>
              <w:snapToGrid w:val="0"/>
              <w:jc w:val="both"/>
              <w:rPr>
                <w:rFonts w:ascii="仿宋_GB2312" w:eastAsia="仿宋_GB2312"/>
                <w:sz w:val="24"/>
              </w:rPr>
            </w:pPr>
            <w:r>
              <w:rPr>
                <w:rFonts w:hint="eastAsia" w:ascii="仿宋_GB2312" w:eastAsia="仿宋_GB2312"/>
                <w:sz w:val="24"/>
              </w:rPr>
              <w:t>202</w:t>
            </w:r>
            <w:r>
              <w:rPr>
                <w:rFonts w:hint="eastAsia" w:ascii="仿宋_GB2312" w:eastAsia="仿宋_GB2312"/>
                <w:sz w:val="24"/>
                <w:lang w:val="en-US" w:eastAsia="zh-CN"/>
              </w:rPr>
              <w:t>2</w:t>
            </w:r>
            <w:r>
              <w:rPr>
                <w:rFonts w:hint="eastAsia" w:ascii="仿宋_GB2312" w:eastAsia="仿宋_GB2312"/>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50" w:type="dxa"/>
            <w:vAlign w:val="center"/>
          </w:tcPr>
          <w:p>
            <w:pPr>
              <w:topLinePunct/>
              <w:autoSpaceDE w:val="0"/>
              <w:adjustRightInd w:val="0"/>
              <w:snapToGrid w:val="0"/>
              <w:jc w:val="center"/>
              <w:rPr>
                <w:rFonts w:hint="default" w:ascii="仿宋_GB2312" w:eastAsia="仿宋_GB2312"/>
                <w:sz w:val="24"/>
                <w:lang w:val="en-US" w:eastAsia="zh-CN"/>
              </w:rPr>
            </w:pPr>
            <w:r>
              <w:rPr>
                <w:rFonts w:hint="eastAsia" w:ascii="仿宋_GB2312" w:eastAsia="仿宋_GB2312"/>
                <w:sz w:val="24"/>
                <w:lang w:val="en-US" w:eastAsia="zh-CN"/>
              </w:rPr>
              <w:t>13</w:t>
            </w:r>
          </w:p>
        </w:tc>
        <w:tc>
          <w:tcPr>
            <w:tcW w:w="1379" w:type="dxa"/>
            <w:vMerge w:val="continue"/>
            <w:vAlign w:val="center"/>
          </w:tcPr>
          <w:p>
            <w:pPr>
              <w:jc w:val="both"/>
            </w:pPr>
          </w:p>
        </w:tc>
        <w:tc>
          <w:tcPr>
            <w:tcW w:w="7369" w:type="dxa"/>
            <w:vAlign w:val="center"/>
          </w:tcPr>
          <w:p>
            <w:pPr>
              <w:keepNext/>
              <w:keepLines/>
              <w:topLinePunct/>
              <w:autoSpaceDE w:val="0"/>
              <w:adjustRightInd w:val="0"/>
              <w:snapToGrid w:val="0"/>
              <w:spacing w:line="300" w:lineRule="exact"/>
              <w:jc w:val="both"/>
              <w:rPr>
                <w:rFonts w:ascii="仿宋_GB2312" w:eastAsia="仿宋_GB2312"/>
                <w:sz w:val="24"/>
              </w:rPr>
            </w:pPr>
            <w:r>
              <w:rPr>
                <w:rFonts w:hint="eastAsia" w:ascii="仿宋_GB2312" w:eastAsia="仿宋_GB2312"/>
                <w:sz w:val="24"/>
              </w:rPr>
              <w:t>设立群众举报平台和举报电话，结合</w:t>
            </w:r>
            <w:r>
              <w:rPr>
                <w:rFonts w:hint="eastAsia" w:ascii="仿宋_GB2312" w:eastAsia="仿宋_GB2312"/>
                <w:sz w:val="24"/>
                <w:lang w:val="en-US" w:eastAsia="zh-CN"/>
              </w:rPr>
              <w:t>福建省</w:t>
            </w:r>
            <w:r>
              <w:rPr>
                <w:rFonts w:hint="eastAsia" w:ascii="仿宋_GB2312" w:eastAsia="仿宋_GB2312"/>
                <w:sz w:val="24"/>
              </w:rPr>
              <w:t>农村人居</w:t>
            </w:r>
            <w:r>
              <w:rPr>
                <w:rFonts w:hint="eastAsia" w:ascii="仿宋_GB2312" w:eastAsia="仿宋_GB2312"/>
                <w:sz w:val="24"/>
                <w:lang w:val="en-US" w:eastAsia="zh-CN"/>
              </w:rPr>
              <w:t>整治“互联网+督查”</w:t>
            </w:r>
            <w:r>
              <w:rPr>
                <w:rFonts w:hint="eastAsia" w:ascii="仿宋_GB2312" w:eastAsia="仿宋_GB2312"/>
                <w:sz w:val="24"/>
              </w:rPr>
              <w:t>平台和生态环境部门信访举报平台，畅通群众信访举报渠道。</w:t>
            </w:r>
          </w:p>
        </w:tc>
        <w:tc>
          <w:tcPr>
            <w:tcW w:w="2965" w:type="dxa"/>
            <w:vAlign w:val="center"/>
          </w:tcPr>
          <w:p>
            <w:pPr>
              <w:topLinePunct/>
              <w:autoSpaceDE w:val="0"/>
              <w:adjustRightInd w:val="0"/>
              <w:snapToGrid w:val="0"/>
              <w:jc w:val="both"/>
              <w:rPr>
                <w:rFonts w:hint="eastAsia" w:ascii="仿宋_GB2312" w:eastAsia="仿宋_GB2312"/>
                <w:sz w:val="24"/>
              </w:rPr>
            </w:pPr>
            <w:r>
              <w:rPr>
                <w:rFonts w:hint="eastAsia" w:ascii="仿宋_GB2312" w:eastAsia="仿宋_GB2312"/>
                <w:sz w:val="24"/>
                <w:lang w:eastAsia="zh-CN"/>
              </w:rPr>
              <w:t>安溪</w:t>
            </w:r>
            <w:r>
              <w:rPr>
                <w:rFonts w:hint="eastAsia" w:ascii="仿宋_GB2312" w:eastAsia="仿宋_GB2312"/>
                <w:sz w:val="24"/>
              </w:rPr>
              <w:t>生态环境局、</w:t>
            </w:r>
            <w:r>
              <w:rPr>
                <w:rFonts w:hint="eastAsia" w:ascii="仿宋_GB2312" w:eastAsia="仿宋_GB2312"/>
                <w:sz w:val="24"/>
                <w:lang w:eastAsia="zh-CN"/>
              </w:rPr>
              <w:t>县</w:t>
            </w:r>
            <w:r>
              <w:rPr>
                <w:rFonts w:hint="eastAsia" w:ascii="仿宋_GB2312" w:eastAsia="仿宋_GB2312"/>
                <w:sz w:val="24"/>
              </w:rPr>
              <w:t>农业农村局按职责分工</w:t>
            </w:r>
          </w:p>
        </w:tc>
        <w:tc>
          <w:tcPr>
            <w:tcW w:w="1473" w:type="dxa"/>
            <w:vAlign w:val="center"/>
          </w:tcPr>
          <w:p>
            <w:pPr>
              <w:topLinePunct/>
              <w:autoSpaceDE w:val="0"/>
              <w:adjustRightInd w:val="0"/>
              <w:snapToGrid w:val="0"/>
              <w:jc w:val="both"/>
              <w:rPr>
                <w:rFonts w:ascii="仿宋_GB2312" w:eastAsia="仿宋_GB2312"/>
                <w:sz w:val="24"/>
              </w:rPr>
            </w:pPr>
            <w:r>
              <w:rPr>
                <w:rFonts w:hint="eastAsia" w:ascii="仿宋_GB2312" w:eastAsia="仿宋_GB2312"/>
                <w:sz w:val="24"/>
              </w:rPr>
              <w:t>202</w:t>
            </w:r>
            <w:r>
              <w:rPr>
                <w:rFonts w:hint="eastAsia" w:ascii="仿宋_GB2312" w:eastAsia="仿宋_GB2312"/>
                <w:sz w:val="24"/>
                <w:lang w:val="en-US" w:eastAsia="zh-CN"/>
              </w:rPr>
              <w:t>2</w:t>
            </w:r>
            <w:r>
              <w:rPr>
                <w:rFonts w:hint="eastAsia" w:ascii="仿宋_GB2312" w:eastAsia="仿宋_GB2312"/>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50" w:type="dxa"/>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14</w:t>
            </w:r>
          </w:p>
        </w:tc>
        <w:tc>
          <w:tcPr>
            <w:tcW w:w="1379" w:type="dxa"/>
            <w:vMerge w:val="restart"/>
            <w:vAlign w:val="center"/>
          </w:tcPr>
          <w:p>
            <w:pPr>
              <w:topLinePunct/>
              <w:autoSpaceDE w:val="0"/>
              <w:adjustRightInd w:val="0"/>
              <w:snapToGrid w:val="0"/>
              <w:jc w:val="both"/>
              <w:rPr>
                <w:rFonts w:ascii="仿宋_GB2312" w:eastAsia="仿宋_GB2312"/>
                <w:sz w:val="24"/>
              </w:rPr>
            </w:pPr>
            <w:r>
              <w:rPr>
                <w:rFonts w:hint="eastAsia" w:ascii="仿宋_GB2312" w:eastAsia="仿宋_GB2312"/>
                <w:sz w:val="24"/>
              </w:rPr>
              <w:t>成效管理</w:t>
            </w:r>
          </w:p>
        </w:tc>
        <w:tc>
          <w:tcPr>
            <w:tcW w:w="7369" w:type="dxa"/>
            <w:vAlign w:val="center"/>
          </w:tcPr>
          <w:p>
            <w:pPr>
              <w:keepNext/>
              <w:keepLines/>
              <w:topLinePunct/>
              <w:autoSpaceDE w:val="0"/>
              <w:adjustRightInd w:val="0"/>
              <w:snapToGrid w:val="0"/>
              <w:spacing w:line="300" w:lineRule="exact"/>
              <w:jc w:val="both"/>
              <w:rPr>
                <w:rFonts w:ascii="仿宋_GB2312" w:eastAsia="仿宋_GB2312"/>
                <w:sz w:val="24"/>
              </w:rPr>
            </w:pPr>
            <w:r>
              <w:rPr>
                <w:rFonts w:hint="eastAsia" w:ascii="仿宋_GB2312" w:eastAsia="仿宋_GB2312"/>
                <w:sz w:val="24"/>
              </w:rPr>
              <w:t>创新智慧监管模式，建设农村生活污水治理智慧监管系统；鼓励运用5G传输、大数据、物联网技术实现设施远程监控。</w:t>
            </w:r>
          </w:p>
        </w:tc>
        <w:tc>
          <w:tcPr>
            <w:tcW w:w="2965" w:type="dxa"/>
            <w:vAlign w:val="center"/>
          </w:tcPr>
          <w:p>
            <w:pPr>
              <w:topLinePunct/>
              <w:autoSpaceDE w:val="0"/>
              <w:adjustRightInd w:val="0"/>
              <w:snapToGrid w:val="0"/>
              <w:jc w:val="both"/>
              <w:rPr>
                <w:rFonts w:ascii="仿宋_GB2312" w:eastAsia="仿宋_GB2312"/>
                <w:sz w:val="24"/>
              </w:rPr>
            </w:pPr>
            <w:r>
              <w:rPr>
                <w:rFonts w:hint="eastAsia" w:ascii="仿宋_GB2312" w:eastAsia="仿宋_GB2312"/>
                <w:sz w:val="24"/>
                <w:lang w:eastAsia="zh-CN"/>
              </w:rPr>
              <w:t>安溪</w:t>
            </w:r>
            <w:r>
              <w:rPr>
                <w:rFonts w:hint="eastAsia" w:ascii="仿宋_GB2312" w:eastAsia="仿宋_GB2312"/>
                <w:sz w:val="24"/>
              </w:rPr>
              <w:t>生态环境局</w:t>
            </w:r>
          </w:p>
        </w:tc>
        <w:tc>
          <w:tcPr>
            <w:tcW w:w="1473" w:type="dxa"/>
            <w:vAlign w:val="center"/>
          </w:tcPr>
          <w:p>
            <w:pPr>
              <w:topLinePunct/>
              <w:autoSpaceDE w:val="0"/>
              <w:adjustRightInd w:val="0"/>
              <w:snapToGrid w:val="0"/>
              <w:jc w:val="both"/>
              <w:rPr>
                <w:rFonts w:ascii="仿宋_GB2312" w:eastAsia="仿宋_GB2312"/>
                <w:sz w:val="24"/>
              </w:rPr>
            </w:pPr>
            <w:r>
              <w:rPr>
                <w:rFonts w:hint="eastAsia" w:ascii="仿宋_GB2312" w:eastAsia="仿宋_GB2312"/>
                <w:sz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50" w:type="dxa"/>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15</w:t>
            </w:r>
          </w:p>
        </w:tc>
        <w:tc>
          <w:tcPr>
            <w:tcW w:w="1379" w:type="dxa"/>
            <w:vMerge w:val="continue"/>
            <w:vAlign w:val="center"/>
          </w:tcPr>
          <w:p>
            <w:pPr>
              <w:jc w:val="both"/>
            </w:pPr>
          </w:p>
        </w:tc>
        <w:tc>
          <w:tcPr>
            <w:tcW w:w="7369" w:type="dxa"/>
            <w:vAlign w:val="center"/>
          </w:tcPr>
          <w:p>
            <w:pPr>
              <w:keepNext/>
              <w:keepLines/>
              <w:topLinePunct/>
              <w:autoSpaceDE w:val="0"/>
              <w:adjustRightInd w:val="0"/>
              <w:snapToGrid w:val="0"/>
              <w:spacing w:line="300" w:lineRule="exact"/>
              <w:jc w:val="both"/>
              <w:rPr>
                <w:rFonts w:hint="eastAsia" w:ascii="仿宋_GB2312" w:eastAsia="仿宋_GB2312" w:cs="Times New Roman"/>
                <w:sz w:val="24"/>
                <w:lang w:eastAsia="zh-CN"/>
              </w:rPr>
            </w:pPr>
            <w:r>
              <w:rPr>
                <w:rFonts w:hint="eastAsia" w:ascii="仿宋_GB2312" w:eastAsia="仿宋_GB2312" w:cs="Times New Roman"/>
                <w:sz w:val="24"/>
              </w:rPr>
              <w:t>建立以效付费制度，</w:t>
            </w:r>
            <w:r>
              <w:rPr>
                <w:rFonts w:hint="eastAsia" w:ascii="仿宋_GB2312" w:eastAsia="仿宋_GB2312" w:cs="Times New Roman"/>
                <w:sz w:val="24"/>
                <w:szCs w:val="24"/>
              </w:rPr>
              <w:t>建立第三方评估制度，常态化开展成效评估、明察暗访、企业信用评价。</w:t>
            </w:r>
            <w:r>
              <w:rPr>
                <w:rFonts w:hint="eastAsia" w:ascii="仿宋_GB2312" w:eastAsia="仿宋_GB2312" w:cs="Times New Roman"/>
                <w:sz w:val="24"/>
                <w:szCs w:val="24"/>
                <w:lang w:val="en-US" w:eastAsia="zh-CN"/>
              </w:rPr>
              <w:t>要</w:t>
            </w:r>
            <w:r>
              <w:rPr>
                <w:rFonts w:hint="eastAsia" w:ascii="仿宋_GB2312" w:eastAsia="仿宋_GB2312" w:cs="Times New Roman"/>
                <w:sz w:val="24"/>
                <w:szCs w:val="24"/>
              </w:rPr>
              <w:t>以污水收集率、出水达标率为重点，每季度或每半年开展成效考核</w:t>
            </w:r>
            <w:r>
              <w:rPr>
                <w:rFonts w:hint="eastAsia" w:ascii="仿宋_GB2312" w:eastAsia="仿宋_GB2312" w:cs="Times New Roman"/>
                <w:sz w:val="24"/>
                <w:szCs w:val="24"/>
                <w:highlight w:val="none"/>
              </w:rPr>
              <w:t>，实行以效付费</w:t>
            </w:r>
            <w:r>
              <w:rPr>
                <w:rFonts w:hint="eastAsia" w:ascii="仿宋_GB2312" w:eastAsia="仿宋_GB2312" w:cs="Times New Roman"/>
                <w:sz w:val="24"/>
                <w:szCs w:val="24"/>
                <w:highlight w:val="none"/>
                <w:lang w:eastAsia="zh-CN"/>
              </w:rPr>
              <w:t>。</w:t>
            </w:r>
          </w:p>
        </w:tc>
        <w:tc>
          <w:tcPr>
            <w:tcW w:w="2965" w:type="dxa"/>
            <w:vAlign w:val="center"/>
          </w:tcPr>
          <w:p>
            <w:pPr>
              <w:topLinePunct/>
              <w:autoSpaceDE w:val="0"/>
              <w:adjustRightInd w:val="0"/>
              <w:snapToGrid w:val="0"/>
              <w:jc w:val="both"/>
              <w:rPr>
                <w:rFonts w:hint="eastAsia" w:ascii="仿宋_GB2312" w:eastAsia="仿宋_GB2312"/>
                <w:sz w:val="24"/>
                <w:lang w:eastAsia="zh-CN"/>
              </w:rPr>
            </w:pPr>
            <w:r>
              <w:rPr>
                <w:rFonts w:hint="eastAsia" w:ascii="仿宋_GB2312" w:eastAsia="仿宋_GB2312"/>
                <w:sz w:val="24"/>
                <w:lang w:eastAsia="zh-CN"/>
              </w:rPr>
              <w:t>安溪生态环境局、县城管局指导，各有关乡镇配合</w:t>
            </w:r>
          </w:p>
        </w:tc>
        <w:tc>
          <w:tcPr>
            <w:tcW w:w="1473" w:type="dxa"/>
            <w:vAlign w:val="center"/>
          </w:tcPr>
          <w:p>
            <w:pPr>
              <w:topLinePunct/>
              <w:autoSpaceDE w:val="0"/>
              <w:adjustRightInd w:val="0"/>
              <w:snapToGrid w:val="0"/>
              <w:jc w:val="both"/>
              <w:rPr>
                <w:rFonts w:ascii="仿宋_GB2312" w:eastAsia="仿宋_GB2312"/>
                <w:sz w:val="24"/>
              </w:rPr>
            </w:pPr>
            <w:r>
              <w:rPr>
                <w:rFonts w:hint="eastAsia" w:ascii="仿宋_GB2312" w:eastAsia="仿宋_GB2312"/>
                <w:sz w:val="24"/>
                <w:lang w:val="en-US" w:eastAsia="zh-CN"/>
              </w:rPr>
              <w:t>2022</w:t>
            </w:r>
            <w:r>
              <w:rPr>
                <w:rFonts w:hint="eastAsia" w:ascii="仿宋_GB2312" w:eastAsia="仿宋_GB2312"/>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50" w:type="dxa"/>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16</w:t>
            </w:r>
          </w:p>
        </w:tc>
        <w:tc>
          <w:tcPr>
            <w:tcW w:w="1379" w:type="dxa"/>
            <w:vMerge w:val="restart"/>
            <w:vAlign w:val="center"/>
          </w:tcPr>
          <w:p>
            <w:pPr>
              <w:topLinePunct/>
              <w:autoSpaceDE w:val="0"/>
              <w:adjustRightInd w:val="0"/>
              <w:snapToGrid w:val="0"/>
              <w:jc w:val="both"/>
              <w:rPr>
                <w:rFonts w:ascii="仿宋_GB2312" w:eastAsia="仿宋_GB2312"/>
                <w:sz w:val="24"/>
              </w:rPr>
            </w:pPr>
            <w:r>
              <w:rPr>
                <w:rFonts w:hint="eastAsia" w:ascii="仿宋_GB2312" w:eastAsia="仿宋_GB2312"/>
                <w:sz w:val="24"/>
              </w:rPr>
              <w:t>考核奖惩</w:t>
            </w:r>
          </w:p>
        </w:tc>
        <w:tc>
          <w:tcPr>
            <w:tcW w:w="7369" w:type="dxa"/>
            <w:vAlign w:val="center"/>
          </w:tcPr>
          <w:p>
            <w:pPr>
              <w:topLinePunct/>
              <w:autoSpaceDE w:val="0"/>
              <w:adjustRightInd w:val="0"/>
              <w:snapToGrid w:val="0"/>
              <w:jc w:val="both"/>
              <w:rPr>
                <w:rFonts w:ascii="仿宋_GB2312" w:eastAsia="仿宋_GB2312"/>
                <w:sz w:val="24"/>
              </w:rPr>
            </w:pPr>
            <w:r>
              <w:rPr>
                <w:rFonts w:hint="eastAsia" w:ascii="仿宋_GB2312" w:eastAsia="仿宋_GB2312"/>
                <w:sz w:val="24"/>
              </w:rPr>
              <w:t>建立评先挂钩机制，将农村</w:t>
            </w:r>
            <w:r>
              <w:rPr>
                <w:rFonts w:hint="eastAsia" w:ascii="仿宋_GB2312" w:eastAsia="仿宋_GB2312"/>
                <w:sz w:val="24"/>
                <w:highlight w:val="none"/>
              </w:rPr>
              <w:t>生活污水治理成效与乡村振兴</w:t>
            </w:r>
            <w:r>
              <w:rPr>
                <w:rFonts w:hint="eastAsia" w:ascii="仿宋_GB2312" w:eastAsia="仿宋_GB2312"/>
                <w:sz w:val="24"/>
                <w:highlight w:val="none"/>
                <w:lang w:eastAsia="zh-CN"/>
              </w:rPr>
              <w:t>、</w:t>
            </w:r>
            <w:r>
              <w:rPr>
                <w:rFonts w:hint="eastAsia" w:ascii="仿宋_GB2312" w:eastAsia="仿宋_GB2312"/>
                <w:sz w:val="24"/>
                <w:highlight w:val="none"/>
                <w:lang w:val="en-US" w:eastAsia="zh-CN"/>
              </w:rPr>
              <w:t>农村人居环境</w:t>
            </w:r>
            <w:r>
              <w:rPr>
                <w:rFonts w:hint="eastAsia" w:ascii="仿宋_GB2312" w:eastAsia="仿宋_GB2312"/>
                <w:sz w:val="24"/>
                <w:highlight w:val="none"/>
              </w:rPr>
              <w:t>实效考评、</w:t>
            </w:r>
            <w:r>
              <w:rPr>
                <w:rFonts w:hint="eastAsia" w:ascii="仿宋_GB2312" w:eastAsia="仿宋_GB2312"/>
                <w:sz w:val="24"/>
                <w:highlight w:val="none"/>
                <w:lang w:val="en-US" w:eastAsia="zh-CN"/>
              </w:rPr>
              <w:t>绿盈乡村</w:t>
            </w:r>
            <w:r>
              <w:rPr>
                <w:rFonts w:hint="eastAsia" w:ascii="仿宋_GB2312" w:eastAsia="仿宋_GB2312"/>
                <w:sz w:val="24"/>
                <w:highlight w:val="none"/>
              </w:rPr>
              <w:t>等相关创先评优示范工作挂钩</w:t>
            </w:r>
            <w:r>
              <w:rPr>
                <w:rFonts w:hint="eastAsia" w:ascii="仿宋_GB2312" w:eastAsia="仿宋_GB2312"/>
                <w:sz w:val="24"/>
              </w:rPr>
              <w:t>。</w:t>
            </w:r>
          </w:p>
        </w:tc>
        <w:tc>
          <w:tcPr>
            <w:tcW w:w="2965" w:type="dxa"/>
            <w:vAlign w:val="center"/>
          </w:tcPr>
          <w:p>
            <w:pPr>
              <w:topLinePunct/>
              <w:autoSpaceDE w:val="0"/>
              <w:adjustRightInd w:val="0"/>
              <w:snapToGrid w:val="0"/>
              <w:jc w:val="both"/>
              <w:rPr>
                <w:rFonts w:ascii="仿宋_GB2312" w:eastAsia="仿宋_GB2312"/>
                <w:sz w:val="24"/>
              </w:rPr>
            </w:pPr>
            <w:r>
              <w:rPr>
                <w:rFonts w:hint="eastAsia" w:ascii="仿宋_GB2312" w:eastAsia="仿宋_GB2312"/>
                <w:sz w:val="24"/>
              </w:rPr>
              <w:t>各相关</w:t>
            </w:r>
            <w:r>
              <w:rPr>
                <w:rFonts w:hint="eastAsia" w:ascii="仿宋_GB2312" w:eastAsia="仿宋_GB2312"/>
                <w:sz w:val="24"/>
                <w:lang w:eastAsia="zh-CN"/>
              </w:rPr>
              <w:t>县</w:t>
            </w:r>
            <w:r>
              <w:rPr>
                <w:rFonts w:hint="eastAsia" w:ascii="仿宋_GB2312" w:eastAsia="仿宋_GB2312"/>
                <w:sz w:val="24"/>
              </w:rPr>
              <w:t>直部门</w:t>
            </w:r>
          </w:p>
        </w:tc>
        <w:tc>
          <w:tcPr>
            <w:tcW w:w="1473" w:type="dxa"/>
            <w:vAlign w:val="center"/>
          </w:tcPr>
          <w:p>
            <w:pPr>
              <w:topLinePunct/>
              <w:autoSpaceDE w:val="0"/>
              <w:adjustRightInd w:val="0"/>
              <w:snapToGrid w:val="0"/>
              <w:jc w:val="both"/>
              <w:rPr>
                <w:rFonts w:ascii="仿宋_GB2312" w:eastAsia="仿宋_GB2312"/>
                <w:sz w:val="24"/>
              </w:rPr>
            </w:pPr>
            <w:r>
              <w:rPr>
                <w:rFonts w:hint="eastAsia" w:ascii="仿宋_GB2312" w:eastAsia="仿宋_GB2312"/>
                <w:sz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50" w:type="dxa"/>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17</w:t>
            </w:r>
          </w:p>
        </w:tc>
        <w:tc>
          <w:tcPr>
            <w:tcW w:w="1379" w:type="dxa"/>
            <w:vMerge w:val="continue"/>
            <w:vAlign w:val="center"/>
          </w:tcPr>
          <w:p>
            <w:pPr>
              <w:jc w:val="both"/>
            </w:pPr>
          </w:p>
        </w:tc>
        <w:tc>
          <w:tcPr>
            <w:tcW w:w="7369" w:type="dxa"/>
            <w:vAlign w:val="center"/>
          </w:tcPr>
          <w:p>
            <w:pPr>
              <w:topLinePunct/>
              <w:autoSpaceDE w:val="0"/>
              <w:adjustRightInd w:val="0"/>
              <w:snapToGrid w:val="0"/>
              <w:jc w:val="both"/>
              <w:rPr>
                <w:rFonts w:ascii="仿宋_GB2312" w:eastAsia="仿宋_GB2312"/>
                <w:sz w:val="24"/>
              </w:rPr>
            </w:pPr>
            <w:r>
              <w:rPr>
                <w:rFonts w:hint="eastAsia" w:ascii="仿宋_GB2312" w:eastAsia="仿宋_GB2312"/>
                <w:sz w:val="24"/>
              </w:rPr>
              <w:t>建立资金奖惩机制，对试点地区适当提高补助比例，对试点成效显著的给予一定奖励；对治理工作推进不力、</w:t>
            </w:r>
            <w:r>
              <w:rPr>
                <w:rFonts w:hint="eastAsia" w:ascii="仿宋_GB2312" w:eastAsia="仿宋_GB2312"/>
                <w:sz w:val="24"/>
                <w:lang w:val="en-US" w:eastAsia="zh-CN"/>
              </w:rPr>
              <w:t>未完成年度提升治理任务、</w:t>
            </w:r>
            <w:r>
              <w:rPr>
                <w:rFonts w:hint="eastAsia" w:ascii="仿宋_GB2312" w:eastAsia="仿宋_GB2312"/>
                <w:sz w:val="24"/>
              </w:rPr>
              <w:t>绩效目标未完成、预算执行进度慢的</w:t>
            </w:r>
            <w:r>
              <w:rPr>
                <w:rFonts w:hint="eastAsia" w:ascii="仿宋_GB2312" w:eastAsia="仿宋_GB2312"/>
                <w:sz w:val="24"/>
                <w:lang w:eastAsia="zh-CN"/>
              </w:rPr>
              <w:t>乡镇</w:t>
            </w:r>
            <w:r>
              <w:rPr>
                <w:rFonts w:hint="eastAsia" w:ascii="仿宋_GB2312" w:eastAsia="仿宋_GB2312"/>
                <w:sz w:val="24"/>
              </w:rPr>
              <w:t>，适当扣减年度奖补资金。</w:t>
            </w:r>
          </w:p>
        </w:tc>
        <w:tc>
          <w:tcPr>
            <w:tcW w:w="2965" w:type="dxa"/>
            <w:vAlign w:val="center"/>
          </w:tcPr>
          <w:p>
            <w:pPr>
              <w:topLinePunct/>
              <w:autoSpaceDE w:val="0"/>
              <w:adjustRightInd w:val="0"/>
              <w:snapToGrid w:val="0"/>
              <w:jc w:val="both"/>
              <w:rPr>
                <w:rFonts w:ascii="仿宋_GB2312" w:eastAsia="仿宋_GB2312"/>
                <w:sz w:val="24"/>
              </w:rPr>
            </w:pPr>
            <w:r>
              <w:rPr>
                <w:rFonts w:hint="eastAsia" w:ascii="仿宋_GB2312" w:eastAsia="仿宋_GB2312"/>
                <w:sz w:val="24"/>
                <w:lang w:eastAsia="zh-CN"/>
              </w:rPr>
              <w:t>县</w:t>
            </w:r>
            <w:r>
              <w:rPr>
                <w:rFonts w:hint="eastAsia" w:ascii="仿宋_GB2312" w:eastAsia="仿宋_GB2312"/>
                <w:sz w:val="24"/>
              </w:rPr>
              <w:t>财政局、</w:t>
            </w:r>
            <w:r>
              <w:rPr>
                <w:rFonts w:hint="eastAsia" w:ascii="仿宋_GB2312" w:eastAsia="仿宋_GB2312"/>
                <w:sz w:val="24"/>
                <w:lang w:eastAsia="zh-CN"/>
              </w:rPr>
              <w:t>安溪</w:t>
            </w:r>
            <w:r>
              <w:rPr>
                <w:rFonts w:hint="eastAsia" w:ascii="仿宋_GB2312" w:eastAsia="仿宋_GB2312"/>
                <w:sz w:val="24"/>
              </w:rPr>
              <w:t>生态环境局</w:t>
            </w:r>
          </w:p>
        </w:tc>
        <w:tc>
          <w:tcPr>
            <w:tcW w:w="1473" w:type="dxa"/>
            <w:vAlign w:val="center"/>
          </w:tcPr>
          <w:p>
            <w:pPr>
              <w:topLinePunct/>
              <w:autoSpaceDE w:val="0"/>
              <w:adjustRightInd w:val="0"/>
              <w:snapToGrid w:val="0"/>
              <w:jc w:val="both"/>
              <w:rPr>
                <w:rFonts w:ascii="仿宋_GB2312" w:eastAsia="仿宋_GB2312"/>
                <w:sz w:val="24"/>
              </w:rPr>
            </w:pPr>
            <w:r>
              <w:rPr>
                <w:rFonts w:hint="eastAsia" w:ascii="仿宋_GB2312" w:eastAsia="仿宋_GB2312"/>
                <w:sz w:val="24"/>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50" w:type="dxa"/>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18</w:t>
            </w:r>
          </w:p>
        </w:tc>
        <w:tc>
          <w:tcPr>
            <w:tcW w:w="1379" w:type="dxa"/>
            <w:vMerge w:val="continue"/>
            <w:vAlign w:val="center"/>
          </w:tcPr>
          <w:p>
            <w:pPr>
              <w:jc w:val="both"/>
            </w:pPr>
          </w:p>
        </w:tc>
        <w:tc>
          <w:tcPr>
            <w:tcW w:w="7369" w:type="dxa"/>
            <w:vAlign w:val="center"/>
          </w:tcPr>
          <w:p>
            <w:pPr>
              <w:topLinePunct/>
              <w:autoSpaceDE w:val="0"/>
              <w:adjustRightInd w:val="0"/>
              <w:snapToGrid w:val="0"/>
              <w:jc w:val="both"/>
              <w:rPr>
                <w:rFonts w:ascii="仿宋_GB2312" w:eastAsia="仿宋_GB2312"/>
                <w:sz w:val="24"/>
              </w:rPr>
            </w:pPr>
            <w:r>
              <w:rPr>
                <w:rFonts w:hint="eastAsia" w:ascii="仿宋_GB2312" w:eastAsia="仿宋_GB2312"/>
                <w:sz w:val="24"/>
              </w:rPr>
              <w:t>完善督导考核机制，将农村生活污水治理列为乡村振兴、农村人居环境整治、河湖长制、绿盈乡村约束性指标，加强监督考核。</w:t>
            </w:r>
          </w:p>
        </w:tc>
        <w:tc>
          <w:tcPr>
            <w:tcW w:w="2965" w:type="dxa"/>
            <w:vAlign w:val="center"/>
          </w:tcPr>
          <w:p>
            <w:pPr>
              <w:topLinePunct/>
              <w:autoSpaceDE w:val="0"/>
              <w:adjustRightInd w:val="0"/>
              <w:snapToGrid w:val="0"/>
              <w:jc w:val="both"/>
              <w:rPr>
                <w:rFonts w:hint="eastAsia" w:ascii="仿宋_GB2312" w:eastAsia="仿宋_GB2312"/>
                <w:sz w:val="24"/>
              </w:rPr>
            </w:pPr>
            <w:r>
              <w:rPr>
                <w:rFonts w:hint="eastAsia" w:ascii="仿宋_GB2312" w:eastAsia="仿宋_GB2312"/>
                <w:sz w:val="24"/>
                <w:lang w:eastAsia="zh-CN"/>
              </w:rPr>
              <w:t>安溪</w:t>
            </w:r>
            <w:r>
              <w:rPr>
                <w:rFonts w:hint="eastAsia" w:ascii="仿宋_GB2312" w:eastAsia="仿宋_GB2312"/>
                <w:sz w:val="24"/>
              </w:rPr>
              <w:t>生态环境局、</w:t>
            </w:r>
            <w:r>
              <w:rPr>
                <w:rFonts w:hint="eastAsia" w:ascii="仿宋_GB2312" w:eastAsia="仿宋_GB2312"/>
                <w:sz w:val="24"/>
                <w:lang w:eastAsia="zh-CN"/>
              </w:rPr>
              <w:t>县</w:t>
            </w:r>
            <w:r>
              <w:rPr>
                <w:rFonts w:hint="eastAsia" w:ascii="仿宋_GB2312" w:eastAsia="仿宋_GB2312"/>
                <w:sz w:val="24"/>
              </w:rPr>
              <w:t>农业农村局、水利局等按职责分工</w:t>
            </w:r>
          </w:p>
        </w:tc>
        <w:tc>
          <w:tcPr>
            <w:tcW w:w="1473" w:type="dxa"/>
            <w:vAlign w:val="center"/>
          </w:tcPr>
          <w:p>
            <w:pPr>
              <w:topLinePunct/>
              <w:autoSpaceDE w:val="0"/>
              <w:adjustRightInd w:val="0"/>
              <w:snapToGrid w:val="0"/>
              <w:jc w:val="both"/>
              <w:rPr>
                <w:rFonts w:ascii="仿宋_GB2312" w:eastAsia="仿宋_GB2312"/>
                <w:sz w:val="24"/>
              </w:rPr>
            </w:pPr>
            <w:r>
              <w:rPr>
                <w:rFonts w:hint="eastAsia" w:ascii="仿宋_GB2312" w:eastAsia="仿宋_GB2312"/>
                <w:sz w:val="24"/>
              </w:rPr>
              <w:t>202</w:t>
            </w:r>
            <w:r>
              <w:rPr>
                <w:rFonts w:hint="eastAsia" w:ascii="仿宋_GB2312" w:eastAsia="仿宋_GB2312"/>
                <w:sz w:val="24"/>
                <w:lang w:val="en-US" w:eastAsia="zh-CN"/>
              </w:rPr>
              <w:t>2</w:t>
            </w:r>
            <w:r>
              <w:rPr>
                <w:rFonts w:hint="eastAsia" w:ascii="仿宋_GB2312" w:eastAsia="仿宋_GB2312"/>
                <w:sz w:val="24"/>
              </w:rPr>
              <w:t>年</w:t>
            </w:r>
          </w:p>
        </w:tc>
      </w:tr>
    </w:tbl>
    <w:p>
      <w:pPr>
        <w:jc w:val="both"/>
      </w:pPr>
    </w:p>
    <w:p>
      <w:pPr>
        <w:jc w:val="both"/>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sectPr>
          <w:headerReference r:id="rId4" w:type="default"/>
          <w:footerReference r:id="rId5" w:type="default"/>
          <w:pgSz w:w="16838" w:h="11905" w:orient="landscape"/>
          <w:pgMar w:top="1644" w:right="1417" w:bottom="1417" w:left="1417" w:header="850" w:footer="907" w:gutter="0"/>
          <w:pgNumType w:fmt="decimal"/>
          <w:cols w:space="0" w:num="1"/>
          <w:rtlGutter w:val="0"/>
          <w:docGrid w:type="lines" w:linePitch="438" w:charSpace="0"/>
        </w:sect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sectPr>
          <w:footerReference r:id="rId6" w:type="default"/>
          <w:pgSz w:w="11905" w:h="16838"/>
          <w:pgMar w:top="1417" w:right="1417" w:bottom="1417" w:left="1644" w:header="850" w:footer="907" w:gutter="0"/>
          <w:pgNumType w:fmt="decimal"/>
          <w:cols w:space="0" w:num="1"/>
          <w:rtlGutter w:val="0"/>
          <w:docGrid w:type="lines" w:linePitch="438" w:charSpace="0"/>
        </w:sect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rPr>
          <w:rFonts w:hint="eastAsia"/>
        </w:rPr>
      </w:pPr>
      <w:r>
        <w:rPr>
          <w:sz w:val="21"/>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191135</wp:posOffset>
                </wp:positionV>
                <wp:extent cx="5562600" cy="0"/>
                <wp:effectExtent l="0" t="0" r="0" b="0"/>
                <wp:wrapNone/>
                <wp:docPr id="1" name="直接连接符 1"/>
                <wp:cNvGraphicFramePr/>
                <a:graphic xmlns:a="http://schemas.openxmlformats.org/drawingml/2006/main">
                  <a:graphicData uri="http://schemas.microsoft.com/office/word/2010/wordprocessingShape">
                    <wps:wsp>
                      <wps:cNvCnPr/>
                      <wps:spPr>
                        <a:xfrm>
                          <a:off x="1108710" y="9149080"/>
                          <a:ext cx="556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85pt;margin-top:15.05pt;height:0pt;width:438pt;z-index:251658240;mso-width-relative:page;mso-height-relative:page;" filled="f" stroked="t" coordsize="21600,21600" o:gfxdata="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GM/7tUAAAAIAQAADwAAAAAAAAABACAAAAAiAAAAZHJzL2Rvd25yZXYueG1sUEsBAhQAFAAAAAgA&#10;h07iQE6fk3TvAQAAvQMAAA4AAAAAAAAAAQAgAAAAJAEAAGRycy9lMm9Eb2MueG1sUEsFBgAAAAAG&#10;AAYAWQEAAIUFAAAAAA==&#10;">
                <v:fill on="f" focussize="0,0"/>
                <v:stroke weight="0.5pt" color="#000000 [3200]" miterlimit="8" joinstyle="miter"/>
                <v:imagedata o:title=""/>
                <o:lock v:ext="edit" aspectratio="f"/>
              </v:line>
            </w:pict>
          </mc:Fallback>
        </mc:AlternateContent>
      </w:r>
    </w:p>
    <w:p>
      <w:pPr>
        <w:pStyle w:val="12"/>
        <w:ind w:right="-317" w:rightChars="-151" w:firstLine="210" w:firstLineChars="100"/>
        <w:rPr>
          <w:rFonts w:hint="eastAsia"/>
        </w:rPr>
      </w:pPr>
      <w:r>
        <w:rPr>
          <w:sz w:val="21"/>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379095</wp:posOffset>
                </wp:positionV>
                <wp:extent cx="55626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6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85pt;margin-top:29.85pt;height:0pt;width:438pt;z-index:251659264;mso-width-relative:page;mso-height-relative:page;" filled="f" stroked="t" coordsize="21600,21600" o:gfxdata="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azSRz1gAAAAgBAAAP&#10;AAAAAAAAAAEAIAAAACIAAABkcnMvZG93bnJldi54bWxQSwECFAAUAAAACACHTuJAwPXeUeEBAACx&#10;AwAADgAAAAAAAAABACAAAAAlAQAAZHJzL2Uyb0RvYy54bWxQSwUGAAAAAAYABgBZAQAAeAUAAAAA&#10;">
                <v:fill on="f" focussize="0,0"/>
                <v:stroke weight="0.5pt" color="#000000 [3200]" miterlimit="8" joinstyle="miter"/>
                <v:imagedata o:title=""/>
                <o:lock v:ext="edit" aspectratio="f"/>
              </v:line>
            </w:pict>
          </mc:Fallback>
        </mc:AlternateContent>
      </w:r>
      <w:r>
        <w:rPr>
          <w:rFonts w:hint="eastAsia" w:ascii="仿宋_GB2312" w:hAnsi="仿宋_GB2312" w:eastAsia="仿宋_GB2312" w:cs="仿宋_GB2312"/>
          <w:sz w:val="28"/>
          <w:szCs w:val="28"/>
          <w:lang w:eastAsia="zh-CN"/>
        </w:rPr>
        <w:t>安溪县</w:t>
      </w:r>
      <w:r>
        <w:rPr>
          <w:rFonts w:hint="eastAsia" w:ascii="仿宋_GB2312" w:hAnsi="仿宋_GB2312" w:eastAsia="仿宋_GB2312" w:cs="仿宋_GB2312"/>
          <w:sz w:val="28"/>
          <w:szCs w:val="28"/>
        </w:rPr>
        <w:t>人民政府办公室</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日印发</w:t>
      </w:r>
    </w:p>
    <w:p>
      <w:pPr>
        <w:rPr>
          <w:rFonts w:hint="eastAsia"/>
        </w:rPr>
      </w:pPr>
    </w:p>
    <w:sectPr>
      <w:footerReference r:id="rId7" w:type="default"/>
      <w:pgSz w:w="11905" w:h="16838"/>
      <w:pgMar w:top="1417" w:right="1417" w:bottom="1417" w:left="1644" w:header="850" w:footer="907" w:gutter="0"/>
      <w:pgNumType w:fmt="decimal"/>
      <w:cols w:space="0" w:num="1"/>
      <w:rtlGutter w:val="0"/>
      <w:docGrid w:type="lines" w:linePitch="4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方正仿宋_GBK">
    <w:altName w:val="微软雅黑"/>
    <w:panose1 w:val="00000000000000000000"/>
    <w:charset w:val="86"/>
    <w:family w:val="script"/>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0" distR="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asDMH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mSUo0MHw4RKKSeabGQ7eRDz1bVjqOWJqL//N86v632t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FasDMHTAQAAngMAAA4AAAAAAAAAAQAgAAAAHwEA&#10;AGRycy9lMm9Eb2MueG1sUEsFBgAAAAAGAAYAWQEAAGQ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- 15 -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- 15 -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黑体" w:hAnsi="黑体" w:eastAsia="黑体"/>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19"/>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095A8A"/>
    <w:rsid w:val="03712A8D"/>
    <w:rsid w:val="042002A3"/>
    <w:rsid w:val="05E5116E"/>
    <w:rsid w:val="0C6F33B2"/>
    <w:rsid w:val="10BE3AD2"/>
    <w:rsid w:val="118216F9"/>
    <w:rsid w:val="1263426A"/>
    <w:rsid w:val="13133B53"/>
    <w:rsid w:val="14A265AD"/>
    <w:rsid w:val="17AB4624"/>
    <w:rsid w:val="1A1F3235"/>
    <w:rsid w:val="1A8F393B"/>
    <w:rsid w:val="1ABF2A6A"/>
    <w:rsid w:val="1C0650EE"/>
    <w:rsid w:val="20381D79"/>
    <w:rsid w:val="247526D4"/>
    <w:rsid w:val="269D6143"/>
    <w:rsid w:val="27B9513A"/>
    <w:rsid w:val="280C4B4A"/>
    <w:rsid w:val="299E3C51"/>
    <w:rsid w:val="2AB34023"/>
    <w:rsid w:val="2B4E0296"/>
    <w:rsid w:val="3566441D"/>
    <w:rsid w:val="3A9A4C6D"/>
    <w:rsid w:val="3AD25244"/>
    <w:rsid w:val="3B3568AF"/>
    <w:rsid w:val="3BCC3E5E"/>
    <w:rsid w:val="3D2F3713"/>
    <w:rsid w:val="41A003D3"/>
    <w:rsid w:val="4200013B"/>
    <w:rsid w:val="420E2874"/>
    <w:rsid w:val="42462366"/>
    <w:rsid w:val="43B52D9E"/>
    <w:rsid w:val="443B3193"/>
    <w:rsid w:val="455754F8"/>
    <w:rsid w:val="4AF853AA"/>
    <w:rsid w:val="4B4744C9"/>
    <w:rsid w:val="4BA56778"/>
    <w:rsid w:val="4C1930A0"/>
    <w:rsid w:val="4DCA6A01"/>
    <w:rsid w:val="58D54F38"/>
    <w:rsid w:val="5A37678A"/>
    <w:rsid w:val="5A69111A"/>
    <w:rsid w:val="5D45367E"/>
    <w:rsid w:val="5DE35A52"/>
    <w:rsid w:val="5F710737"/>
    <w:rsid w:val="5FA751BE"/>
    <w:rsid w:val="62175F2D"/>
    <w:rsid w:val="65DF4F07"/>
    <w:rsid w:val="67AA5874"/>
    <w:rsid w:val="68FA56AA"/>
    <w:rsid w:val="6C1A70D2"/>
    <w:rsid w:val="6E013296"/>
    <w:rsid w:val="6F433E0D"/>
    <w:rsid w:val="70B60478"/>
    <w:rsid w:val="73B23BAE"/>
    <w:rsid w:val="793D095C"/>
    <w:rsid w:val="795C1351"/>
    <w:rsid w:val="7B003B70"/>
    <w:rsid w:val="7B2C1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99"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仿宋" w:asciiTheme="minorHAnsi" w:hAnsiTheme="minorHAnsi" w:eastAsiaTheme="minorEastAsia"/>
      <w:color w:val="000000" w:themeColor="text1"/>
      <w:kern w:val="0"/>
      <w:sz w:val="21"/>
      <w:szCs w:val="24"/>
      <w:lang w:val="en-US" w:eastAsia="zh-CN" w:bidi="ar-SA"/>
      <w14:textFill>
        <w14:solidFill>
          <w14:schemeClr w14:val="tx1"/>
        </w14:solidFill>
      </w14:textFill>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12" w:lineRule="atLeast"/>
      <w:ind w:firstLine="425"/>
    </w:pPr>
    <w:rPr>
      <w:szCs w:val="20"/>
    </w:rPr>
  </w:style>
  <w:style w:type="paragraph" w:styleId="3">
    <w:name w:val="HTML Address"/>
    <w:basedOn w:val="1"/>
    <w:qFormat/>
    <w:uiPriority w:val="99"/>
    <w:pPr>
      <w:ind w:firstLine="420"/>
    </w:pPr>
    <w:rPr>
      <w:rFonts w:hAnsi="宋体"/>
      <w:kern w:val="0"/>
      <w:sz w:val="28"/>
      <w:szCs w:val="20"/>
    </w:rPr>
  </w:style>
  <w:style w:type="paragraph" w:styleId="4">
    <w:name w:val="Plain Text"/>
    <w:basedOn w:val="1"/>
    <w:qFormat/>
    <w:uiPriority w:val="99"/>
    <w:pPr>
      <w:spacing w:line="240" w:lineRule="auto"/>
      <w:ind w:firstLine="0"/>
    </w:pPr>
    <w:rPr>
      <w:rFonts w:ascii="宋体"/>
      <w:szCs w:val="20"/>
    </w:r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2"/>
    <w:basedOn w:val="1"/>
    <w:next w:val="1"/>
    <w:qFormat/>
    <w:uiPriority w:val="99"/>
    <w:pPr>
      <w:spacing w:line="240" w:lineRule="auto"/>
      <w:ind w:left="200" w:leftChars="200" w:firstLine="0"/>
    </w:pPr>
    <w:rPr>
      <w:rFonts w:ascii="等线" w:eastAsia="等线"/>
      <w:sz w:val="21"/>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basedOn w:val="13"/>
    <w:next w:val="14"/>
    <w:qFormat/>
    <w:uiPriority w:val="99"/>
    <w:pPr>
      <w:autoSpaceDE w:val="0"/>
      <w:autoSpaceDN w:val="0"/>
      <w:adjustRightInd w:val="0"/>
    </w:pPr>
    <w:rPr>
      <w:rFonts w:ascii="方正仿宋_GBK" w:hAnsi="方正仿宋_GBK" w:eastAsia="方正仿宋_GBK" w:cs="Times New Roman"/>
      <w:color w:val="000000"/>
      <w:sz w:val="24"/>
      <w:szCs w:val="22"/>
    </w:rPr>
  </w:style>
  <w:style w:type="paragraph" w:customStyle="1" w:styleId="13">
    <w:name w:val="纯文本1"/>
    <w:basedOn w:val="1"/>
    <w:next w:val="4"/>
    <w:qFormat/>
    <w:uiPriority w:val="99"/>
    <w:pPr>
      <w:spacing w:line="240" w:lineRule="auto"/>
      <w:ind w:firstLine="0"/>
    </w:pPr>
    <w:rPr>
      <w:rFonts w:ascii="宋体" w:cs="黑体"/>
      <w:sz w:val="21"/>
      <w:szCs w:val="21"/>
    </w:rPr>
  </w:style>
  <w:style w:type="paragraph" w:customStyle="1" w:styleId="14">
    <w:name w:val="样式35"/>
    <w:next w:val="15"/>
    <w:qFormat/>
    <w:uiPriority w:val="99"/>
    <w:pPr>
      <w:widowControl w:val="0"/>
      <w:spacing w:line="312" w:lineRule="auto"/>
      <w:ind w:firstLine="567"/>
      <w:jc w:val="both"/>
    </w:pPr>
    <w:rPr>
      <w:rFonts w:ascii="宋体" w:hAnsi="Times New Roman" w:eastAsia="宋体" w:cs="Times New Roman"/>
      <w:kern w:val="2"/>
      <w:sz w:val="21"/>
      <w:szCs w:val="22"/>
      <w:lang w:val="en-US" w:eastAsia="zh-CN" w:bidi="ar-SA"/>
    </w:rPr>
  </w:style>
  <w:style w:type="paragraph" w:customStyle="1" w:styleId="15">
    <w:name w:val="font6"/>
    <w:basedOn w:val="1"/>
    <w:next w:val="7"/>
    <w:qFormat/>
    <w:uiPriority w:val="99"/>
    <w:pPr>
      <w:widowControl/>
      <w:spacing w:before="100" w:beforeAutospacing="1" w:after="100" w:afterAutospacing="1" w:line="240" w:lineRule="auto"/>
      <w:ind w:firstLine="0"/>
      <w:jc w:val="left"/>
    </w:pPr>
    <w:rPr>
      <w:rFonts w:ascii="宋体" w:cs="宋体"/>
      <w:kern w:val="0"/>
      <w:sz w:val="20"/>
      <w:szCs w:val="20"/>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2021-12-27T00:48:00Z</dcterms:created>
  <dc:creator>Administrator</dc:creator>
  <cp:lastModifiedBy>10040517</cp:lastModifiedBy>
  <cp:lastPrinted>2022-03-11T07:29:50Z</cp:lastPrinted>
  <dcterms:modified xsi:type="dcterms:W3CDTF">2022-03-11T07:31:05Z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