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仿宋简体" w:hAnsi="宋体" w:eastAsia="方正仿宋简体"/>
          <w:szCs w:val="32"/>
        </w:rPr>
      </w:pPr>
    </w:p>
    <w:p>
      <w:pPr>
        <w:snapToGrid w:val="0"/>
        <w:spacing w:line="570" w:lineRule="exact"/>
        <w:jc w:val="center"/>
        <w:rPr>
          <w:rFonts w:hint="eastAsia" w:ascii="方正仿宋简体" w:hAnsi="宋体" w:eastAsia="方正仿宋简体"/>
          <w:szCs w:val="32"/>
        </w:rPr>
      </w:pPr>
    </w:p>
    <w:p>
      <w:pPr>
        <w:snapToGrid w:val="0"/>
        <w:spacing w:line="570" w:lineRule="exact"/>
        <w:jc w:val="center"/>
        <w:rPr>
          <w:rFonts w:hint="eastAsia" w:ascii="方正仿宋简体" w:hAnsi="宋体" w:eastAsia="方正仿宋简体"/>
          <w:szCs w:val="32"/>
        </w:rPr>
      </w:pPr>
    </w:p>
    <w:p>
      <w:pPr>
        <w:snapToGrid w:val="0"/>
        <w:spacing w:line="570" w:lineRule="exact"/>
        <w:jc w:val="center"/>
        <w:rPr>
          <w:rFonts w:hint="eastAsia" w:ascii="方正仿宋简体" w:hAnsi="宋体" w:eastAsia="方正仿宋简体"/>
          <w:szCs w:val="32"/>
        </w:rPr>
      </w:pPr>
    </w:p>
    <w:p>
      <w:pPr>
        <w:snapToGrid w:val="0"/>
        <w:spacing w:line="340" w:lineRule="exact"/>
        <w:jc w:val="center"/>
        <w:rPr>
          <w:rFonts w:hint="eastAsia" w:ascii="方正仿宋简体" w:hAnsi="宋体" w:eastAsia="方正仿宋简体"/>
          <w:szCs w:val="32"/>
        </w:rPr>
      </w:pPr>
    </w:p>
    <w:p>
      <w:pPr>
        <w:snapToGrid w:val="0"/>
        <w:spacing w:line="300" w:lineRule="exact"/>
        <w:jc w:val="center"/>
        <w:rPr>
          <w:rFonts w:hint="eastAsia" w:ascii="方正仿宋简体" w:hAnsi="宋体" w:eastAsia="方正仿宋简体"/>
          <w:szCs w:val="32"/>
        </w:rPr>
      </w:pPr>
    </w:p>
    <w:p>
      <w:pPr>
        <w:keepNext w:val="0"/>
        <w:keepLines w:val="0"/>
        <w:pageBreakBefore w:val="0"/>
        <w:widowControl w:val="0"/>
        <w:kinsoku/>
        <w:wordWrap/>
        <w:overflowPunct/>
        <w:topLinePunct w:val="0"/>
        <w:autoSpaceDE/>
        <w:autoSpaceDN/>
        <w:bidi w:val="0"/>
        <w:adjustRightInd/>
        <w:snapToGrid w:val="0"/>
        <w:spacing w:after="469" w:afterLines="150" w:line="300" w:lineRule="exact"/>
        <w:jc w:val="center"/>
        <w:textAlignment w:val="auto"/>
        <w:rPr>
          <w:rFonts w:hint="eastAsia" w:ascii="方正仿宋简体" w:hAnsi="宋体" w:eastAsia="方正仿宋简体"/>
          <w:szCs w:val="32"/>
        </w:rPr>
      </w:pPr>
    </w:p>
    <w:p>
      <w:pPr>
        <w:snapToGrid w:val="0"/>
        <w:spacing w:line="400" w:lineRule="exact"/>
        <w:jc w:val="center"/>
        <w:rPr>
          <w:rFonts w:hint="eastAsia" w:ascii="方正仿宋简体" w:hAnsi="宋体" w:eastAsia="方正仿宋简体"/>
          <w:szCs w:val="32"/>
        </w:rPr>
      </w:pP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安政办〔202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号</w:t>
      </w:r>
    </w:p>
    <w:p>
      <w:pPr>
        <w:snapToGrid w:val="0"/>
        <w:spacing w:line="300" w:lineRule="exact"/>
        <w:ind w:right="-142"/>
        <w:jc w:val="center"/>
        <w:rPr>
          <w:rFonts w:hint="eastAsia" w:ascii="仿宋_GB2312"/>
        </w:rPr>
      </w:pPr>
    </w:p>
    <w:p>
      <w:pPr>
        <w:snapToGrid w:val="0"/>
        <w:spacing w:line="560" w:lineRule="exact"/>
        <w:ind w:right="-144"/>
        <w:jc w:val="center"/>
        <w:rPr>
          <w:rFonts w:hint="eastAsia" w:ascii="仿宋_GB231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安溪县人民政府</w:t>
      </w:r>
      <w:r>
        <w:rPr>
          <w:rFonts w:hint="eastAsia" w:ascii="方正小标宋简体" w:hAnsi="方正小标宋简体" w:eastAsia="方正小标宋简体" w:cs="方正小标宋简体"/>
          <w:spacing w:val="0"/>
          <w:sz w:val="44"/>
          <w:szCs w:val="44"/>
          <w:lang w:eastAsia="zh-CN"/>
        </w:rPr>
        <w:t>办公室</w:t>
      </w:r>
      <w:r>
        <w:rPr>
          <w:rFonts w:hint="eastAsia" w:ascii="方正小标宋简体" w:hAnsi="方正小标宋简体" w:eastAsia="方正小标宋简体" w:cs="方正小标宋简体"/>
          <w:spacing w:val="0"/>
          <w:sz w:val="44"/>
          <w:szCs w:val="44"/>
        </w:rPr>
        <w:t>关于印发《安溪县基础教育高质量发展三年行动方案》的通知</w:t>
      </w:r>
    </w:p>
    <w:p>
      <w:pPr>
        <w:pStyle w:val="7"/>
        <w:spacing w:beforeAutospacing="0" w:afterAutospacing="0" w:line="600" w:lineRule="exact"/>
        <w:rPr>
          <w:rFonts w:ascii="仿宋_GB2312" w:eastAsia="仿宋_GB2312" w:cs="Times New Roman"/>
          <w:color w:val="000000"/>
          <w:sz w:val="32"/>
          <w:szCs w:val="32"/>
        </w:rPr>
      </w:pPr>
    </w:p>
    <w:p>
      <w:pPr>
        <w:pStyle w:val="7"/>
        <w:spacing w:beforeAutospacing="0" w:afterAutospacing="0" w:line="600" w:lineRule="exact"/>
        <w:rPr>
          <w:rFonts w:ascii="仿宋_GB2312" w:eastAsia="仿宋_GB2312" w:cs="Times New Roman"/>
          <w:color w:val="000000"/>
          <w:sz w:val="32"/>
          <w:szCs w:val="32"/>
        </w:rPr>
      </w:pPr>
      <w:r>
        <w:rPr>
          <w:rFonts w:hint="eastAsia" w:ascii="仿宋_GB2312" w:eastAsia="仿宋_GB2312" w:cs="仿宋_GB2312"/>
          <w:color w:val="000000"/>
          <w:sz w:val="32"/>
          <w:szCs w:val="32"/>
        </w:rPr>
        <w:t>各乡镇人民政府，县直各单位：</w:t>
      </w:r>
    </w:p>
    <w:p>
      <w:pPr>
        <w:pStyle w:val="7"/>
        <w:spacing w:beforeAutospacing="0" w:afterAutospacing="0" w:line="600" w:lineRule="exact"/>
        <w:ind w:firstLine="480" w:firstLineChars="150"/>
        <w:jc w:val="both"/>
        <w:rPr>
          <w:rFonts w:ascii="仿宋_GB2312" w:eastAsia="仿宋_GB2312" w:cs="Times New Roman"/>
          <w:color w:val="000000"/>
          <w:sz w:val="32"/>
          <w:szCs w:val="32"/>
        </w:rPr>
      </w:pPr>
      <w:r>
        <w:rPr>
          <w:rFonts w:hint="eastAsia" w:ascii="仿宋_GB2312" w:eastAsia="仿宋_GB2312" w:cs="仿宋_GB2312"/>
          <w:color w:val="000000"/>
          <w:sz w:val="32"/>
          <w:szCs w:val="32"/>
        </w:rPr>
        <w:t>《安溪县基础教育高质量发展三年行动方案</w:t>
      </w:r>
      <w:r>
        <w:rPr>
          <w:rFonts w:hint="eastAsia" w:ascii="仿宋_GB2312" w:eastAsia="仿宋_GB2312" w:cs="仿宋_GB2312"/>
          <w:color w:val="000000"/>
          <w:spacing w:val="-6"/>
          <w:sz w:val="32"/>
          <w:szCs w:val="32"/>
        </w:rPr>
        <w:t>》已经</w:t>
      </w:r>
      <w:r>
        <w:rPr>
          <w:rFonts w:hint="eastAsia" w:ascii="仿宋_GB2312" w:eastAsia="仿宋_GB2312" w:cs="仿宋_GB2312"/>
          <w:color w:val="000000"/>
          <w:sz w:val="32"/>
          <w:szCs w:val="32"/>
        </w:rPr>
        <w:t>县委</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县政府研究同意，现印发给你们，请认真</w:t>
      </w:r>
      <w:bookmarkStart w:id="0" w:name="_GoBack"/>
      <w:bookmarkEnd w:id="0"/>
      <w:r>
        <w:rPr>
          <w:rFonts w:hint="eastAsia" w:ascii="仿宋_GB2312" w:eastAsia="仿宋_GB2312" w:cs="仿宋_GB2312"/>
          <w:color w:val="000000"/>
          <w:sz w:val="32"/>
          <w:szCs w:val="32"/>
        </w:rPr>
        <w:t>贯彻执行。</w:t>
      </w:r>
    </w:p>
    <w:p>
      <w:pPr>
        <w:pStyle w:val="7"/>
        <w:spacing w:beforeAutospacing="0" w:afterAutospacing="0" w:line="600" w:lineRule="exact"/>
        <w:jc w:val="right"/>
        <w:rPr>
          <w:rFonts w:hint="eastAsia" w:ascii="仿宋_GB2312" w:eastAsia="仿宋_GB2312" w:cs="Times New Roman"/>
          <w:color w:val="000000"/>
          <w:sz w:val="32"/>
          <w:szCs w:val="32"/>
        </w:rPr>
      </w:pPr>
    </w:p>
    <w:p>
      <w:pPr>
        <w:pStyle w:val="7"/>
        <w:wordWrap w:val="0"/>
        <w:spacing w:beforeAutospacing="0" w:afterAutospacing="0" w:line="600" w:lineRule="exact"/>
        <w:jc w:val="right"/>
        <w:rPr>
          <w:rFonts w:hint="default" w:ascii="仿宋_GB2312" w:eastAsia="仿宋_GB2312" w:cs="Times New Roman"/>
          <w:color w:val="000000"/>
          <w:sz w:val="32"/>
          <w:szCs w:val="32"/>
          <w:lang w:val="en-US"/>
        </w:rPr>
      </w:pPr>
      <w:r>
        <w:rPr>
          <w:rFonts w:hint="eastAsia" w:ascii="仿宋_GB2312" w:eastAsia="仿宋_GB2312" w:cs="仿宋_GB2312"/>
          <w:color w:val="000000"/>
          <w:sz w:val="32"/>
          <w:szCs w:val="32"/>
        </w:rPr>
        <w:t>安溪县人民政府</w:t>
      </w:r>
      <w:r>
        <w:rPr>
          <w:rFonts w:hint="eastAsia" w:ascii="仿宋_GB2312" w:eastAsia="仿宋_GB2312" w:cs="仿宋_GB2312"/>
          <w:color w:val="000000"/>
          <w:sz w:val="32"/>
          <w:szCs w:val="32"/>
          <w:lang w:eastAsia="zh-CN"/>
        </w:rPr>
        <w:t>办公室</w:t>
      </w:r>
      <w:r>
        <w:rPr>
          <w:rFonts w:hint="eastAsia" w:ascii="仿宋_GB2312" w:eastAsia="仿宋_GB2312" w:cs="仿宋_GB2312"/>
          <w:color w:val="000000"/>
          <w:sz w:val="32"/>
          <w:szCs w:val="32"/>
          <w:lang w:val="en-US" w:eastAsia="zh-CN"/>
        </w:rPr>
        <w:t xml:space="preserve">   </w:t>
      </w:r>
    </w:p>
    <w:p>
      <w:pPr>
        <w:pStyle w:val="7"/>
        <w:wordWrap w:val="0"/>
        <w:spacing w:beforeAutospacing="0" w:afterAutospacing="0" w:line="600" w:lineRule="exact"/>
        <w:ind w:firstLine="640"/>
        <w:jc w:val="right"/>
        <w:rPr>
          <w:rFonts w:hint="eastAsia" w:ascii="仿宋_GB2312" w:eastAsia="仿宋_GB2312" w:cs="仿宋_GB2312"/>
          <w:color w:val="000000"/>
          <w:sz w:val="32"/>
          <w:szCs w:val="32"/>
        </w:rPr>
      </w:pPr>
      <w:r>
        <w:rPr>
          <w:rFonts w:ascii="仿宋_GB2312" w:eastAsia="仿宋_GB2312" w:cs="仿宋_GB2312"/>
          <w:color w:val="000000"/>
          <w:sz w:val="32"/>
          <w:szCs w:val="32"/>
        </w:rPr>
        <w:t>20</w:t>
      </w:r>
      <w:r>
        <w:rPr>
          <w:rFonts w:hint="eastAsia" w:ascii="仿宋_GB2312" w:eastAsia="仿宋_GB2312" w:cs="仿宋_GB2312"/>
          <w:color w:val="000000"/>
          <w:sz w:val="32"/>
          <w:szCs w:val="32"/>
        </w:rPr>
        <w:t>23年1月</w:t>
      </w:r>
      <w:r>
        <w:rPr>
          <w:rFonts w:hint="eastAsia" w:ascii="仿宋_GB2312" w:eastAsia="仿宋_GB2312" w:cs="仿宋_GB2312"/>
          <w:color w:val="000000"/>
          <w:sz w:val="32"/>
          <w:szCs w:val="32"/>
          <w:lang w:val="en-US" w:eastAsia="zh-CN"/>
        </w:rPr>
        <w:t>19</w:t>
      </w:r>
      <w:r>
        <w:rPr>
          <w:rFonts w:hint="eastAsia" w:ascii="仿宋_GB2312" w:eastAsia="仿宋_GB2312" w:cs="仿宋_GB2312"/>
          <w:color w:val="000000"/>
          <w:sz w:val="32"/>
          <w:szCs w:val="32"/>
        </w:rPr>
        <w:t xml:space="preserve">日     </w:t>
      </w:r>
    </w:p>
    <w:p>
      <w:pPr>
        <w:pStyle w:val="7"/>
        <w:wordWrap/>
        <w:spacing w:beforeAutospacing="0" w:afterAutospacing="0" w:line="600" w:lineRule="exact"/>
        <w:jc w:val="left"/>
        <w:rPr>
          <w:rFonts w:ascii="仿宋_GB2312" w:eastAsia="仿宋_GB2312" w:cs="Times New Roman"/>
          <w:color w:val="000000"/>
          <w:sz w:val="32"/>
          <w:szCs w:val="32"/>
        </w:rPr>
      </w:pPr>
      <w:r>
        <w:rPr>
          <w:rFonts w:hint="eastAsia" w:ascii="仿宋_GB2312" w:eastAsia="仿宋_GB2312" w:cs="仿宋_GB2312"/>
          <w:color w:val="000000"/>
          <w:sz w:val="32"/>
          <w:szCs w:val="32"/>
          <w:lang w:val="en-US" w:eastAsia="zh-CN"/>
        </w:rPr>
        <w:t>(此件公开发布)</w:t>
      </w:r>
      <w:r>
        <w:rPr>
          <w:rFonts w:hint="eastAsia" w:ascii="仿宋_GB2312" w:eastAsia="仿宋_GB2312" w:cs="仿宋_GB2312"/>
          <w:color w:val="000000"/>
          <w:sz w:val="32"/>
          <w:szCs w:val="32"/>
        </w:rPr>
        <w:t xml:space="preserve">   </w:t>
      </w:r>
    </w:p>
    <w:p>
      <w:pPr>
        <w:spacing w:line="640" w:lineRule="exact"/>
        <w:jc w:val="center"/>
        <w:rPr>
          <w:rFonts w:ascii="方正小标宋_GBK" w:hAnsi="宋体" w:eastAsia="方正小标宋_GBK"/>
          <w:b/>
          <w:color w:val="000000"/>
          <w:sz w:val="28"/>
          <w:szCs w:val="28"/>
        </w:rPr>
        <w:sectPr>
          <w:footerReference r:id="rId3" w:type="default"/>
          <w:footerReference r:id="rId4" w:type="even"/>
          <w:pgSz w:w="11906" w:h="16838"/>
          <w:pgMar w:top="2098" w:right="1531" w:bottom="1701" w:left="1531" w:header="851" w:footer="992" w:gutter="0"/>
          <w:pgNumType w:fmt="numberInDash" w:start="1"/>
          <w:cols w:space="720" w:num="1"/>
          <w:titlePg/>
          <w:docGrid w:type="lines" w:linePitch="312" w:charSpace="0"/>
        </w:sectPr>
      </w:pPr>
    </w:p>
    <w:p>
      <w:pPr>
        <w:spacing w:line="520" w:lineRule="exact"/>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安溪县基础教育高质量发展三年行动方案</w:t>
      </w:r>
    </w:p>
    <w:p>
      <w:pPr>
        <w:spacing w:line="540" w:lineRule="exact"/>
        <w:ind w:firstLine="420" w:firstLineChars="200"/>
        <w:rPr>
          <w:rFonts w:hAnsi="仿宋_GB2312" w:cs="Times New Roman"/>
          <w:color w:val="000000"/>
        </w:rPr>
      </w:pPr>
    </w:p>
    <w:p>
      <w:pPr>
        <w:pStyle w:val="7"/>
        <w:spacing w:beforeAutospacing="0" w:afterAutospacing="0" w:line="580" w:lineRule="exact"/>
        <w:ind w:firstLine="640" w:firstLineChars="200"/>
        <w:jc w:val="both"/>
        <w:rPr>
          <w:rFonts w:ascii="仿宋_GB2312" w:hAnsi="仿宋_GB2312" w:eastAsia="仿宋_GB2312" w:cs="Times New Roman"/>
          <w:snapToGrid w:val="0"/>
          <w:color w:val="000000"/>
          <w:sz w:val="32"/>
          <w:szCs w:val="32"/>
        </w:rPr>
      </w:pPr>
      <w:r>
        <w:rPr>
          <w:rFonts w:hint="eastAsia" w:ascii="仿宋_GB2312" w:hAnsi="仿宋_GB2312" w:eastAsia="仿宋_GB2312" w:cs="仿宋_GB2312"/>
          <w:snapToGrid w:val="0"/>
          <w:color w:val="000000"/>
          <w:sz w:val="32"/>
          <w:szCs w:val="32"/>
        </w:rPr>
        <w:t>为深入贯彻中央关于建设高质量教育体系的决策部署，全面落实省、市关于推动基础教育深化改革高质量发展的工作要求，聚焦问题、补齐短板，扩增优质教育资源供给，推动安溪基础教育高质量发展，制定本行动方案。</w:t>
      </w:r>
    </w:p>
    <w:p>
      <w:pPr>
        <w:pStyle w:val="3"/>
        <w:spacing w:line="580" w:lineRule="exact"/>
        <w:ind w:firstLine="640"/>
        <w:rPr>
          <w:rFonts w:ascii="黑体" w:hAnsi="黑体" w:eastAsia="黑体" w:cs="Times New Roman"/>
          <w:color w:val="000000"/>
        </w:rPr>
      </w:pPr>
      <w:r>
        <w:rPr>
          <w:rFonts w:hint="eastAsia" w:ascii="黑体" w:hAnsi="黑体" w:eastAsia="黑体" w:cs="黑体"/>
          <w:color w:val="000000"/>
        </w:rPr>
        <w:t>一、指导思想</w:t>
      </w:r>
    </w:p>
    <w:p>
      <w:pPr>
        <w:pStyle w:val="7"/>
        <w:spacing w:beforeAutospacing="0" w:afterAutospacing="0" w:line="580" w:lineRule="exact"/>
        <w:ind w:firstLine="640" w:firstLineChars="200"/>
        <w:jc w:val="both"/>
        <w:rPr>
          <w:rFonts w:ascii="仿宋_GB2312" w:hAnsi="仿宋_GB2312" w:eastAsia="仿宋_GB2312" w:cs="Times New Roman"/>
          <w:snapToGrid w:val="0"/>
          <w:color w:val="000000"/>
          <w:sz w:val="32"/>
          <w:szCs w:val="32"/>
        </w:rPr>
      </w:pPr>
      <w:r>
        <w:rPr>
          <w:rFonts w:hint="eastAsia" w:ascii="仿宋_GB2312" w:hAnsi="仿宋_GB2312" w:eastAsia="仿宋_GB2312" w:cs="仿宋_GB2312"/>
          <w:snapToGrid w:val="0"/>
          <w:color w:val="000000"/>
          <w:sz w:val="32"/>
          <w:szCs w:val="32"/>
        </w:rPr>
        <w:t>以习近平新时代中国特色社会主义思想为指导，认真</w:t>
      </w:r>
      <w:r>
        <w:rPr>
          <w:rFonts w:hint="eastAsia" w:ascii="仿宋_GB2312" w:hAnsi="仿宋_GB2312" w:eastAsia="仿宋_GB2312" w:cs="仿宋_GB2312"/>
          <w:color w:val="000000"/>
          <w:sz w:val="32"/>
          <w:szCs w:val="32"/>
        </w:rPr>
        <w:t>贯彻落实党的二十大精神</w:t>
      </w:r>
      <w:r>
        <w:rPr>
          <w:rFonts w:hint="eastAsia" w:ascii="仿宋_GB2312" w:hAnsi="仿宋_GB2312" w:eastAsia="仿宋_GB2312" w:cs="仿宋_GB2312"/>
          <w:snapToGrid w:val="0"/>
          <w:color w:val="000000"/>
          <w:sz w:val="32"/>
          <w:szCs w:val="32"/>
        </w:rPr>
        <w:t>，切实加强党对教育事业的全面领导，聚力教育质量导向，强化师资队伍建设，有效加大财政投入保障，进一步压实镇村教育发展责任，推进形成全民兴教氛围。以立德树人为根本任务，以提高质量和促进公平为核心，以改革创新和开放合作为动力，持续深化教育综合改革，为建成教育强县、实现教育现代化夯实基础，增强教育服务经济社会发展能力，培养德智体美劳全面发展的社会主义建设者和接班人。</w:t>
      </w:r>
    </w:p>
    <w:p>
      <w:pPr>
        <w:pStyle w:val="3"/>
        <w:spacing w:line="580" w:lineRule="exact"/>
        <w:ind w:firstLine="640"/>
        <w:rPr>
          <w:rFonts w:ascii="黑体" w:hAnsi="黑体" w:eastAsia="黑体" w:cs="Times New Roman"/>
          <w:color w:val="000000"/>
        </w:rPr>
      </w:pPr>
      <w:r>
        <w:rPr>
          <w:rFonts w:hint="eastAsia" w:ascii="黑体" w:hAnsi="黑体" w:eastAsia="黑体" w:cs="黑体"/>
          <w:color w:val="000000"/>
        </w:rPr>
        <w:t>二、发展目标</w:t>
      </w:r>
    </w:p>
    <w:p>
      <w:pPr>
        <w:pStyle w:val="7"/>
        <w:spacing w:beforeAutospacing="0" w:afterAutospacing="0" w:line="580" w:lineRule="exact"/>
        <w:ind w:firstLine="640" w:firstLineChars="200"/>
        <w:jc w:val="both"/>
        <w:rPr>
          <w:rFonts w:ascii="楷体_GB2312" w:hAnsi="楷体_GB2312" w:eastAsia="楷体_GB2312" w:cs="Times New Roman"/>
          <w:b w:val="0"/>
          <w:bCs w:val="0"/>
          <w:color w:val="000000"/>
          <w:sz w:val="32"/>
          <w:szCs w:val="32"/>
        </w:rPr>
      </w:pPr>
      <w:r>
        <w:rPr>
          <w:rFonts w:hint="eastAsia" w:ascii="楷体_GB2312" w:hAnsi="楷体_GB2312" w:eastAsia="楷体_GB2312" w:cs="楷体_GB2312"/>
          <w:b w:val="0"/>
          <w:bCs w:val="0"/>
          <w:color w:val="000000"/>
          <w:sz w:val="32"/>
          <w:szCs w:val="32"/>
        </w:rPr>
        <w:t>（一）总体目标</w:t>
      </w:r>
    </w:p>
    <w:p>
      <w:pPr>
        <w:pStyle w:val="7"/>
        <w:spacing w:beforeAutospacing="0" w:afterAutospacing="0" w:line="580" w:lineRule="exact"/>
        <w:ind w:firstLine="640" w:firstLineChars="200"/>
        <w:jc w:val="both"/>
        <w:rPr>
          <w:rFonts w:ascii="仿宋_GB2312" w:hAnsi="仿宋_GB2312" w:eastAsia="仿宋_GB2312" w:cs="Times New Roman"/>
          <w:snapToGrid w:val="0"/>
          <w:color w:val="000000"/>
          <w:sz w:val="32"/>
          <w:szCs w:val="32"/>
        </w:rPr>
      </w:pPr>
      <w:r>
        <w:rPr>
          <w:rFonts w:hint="eastAsia" w:ascii="仿宋_GB2312" w:hAnsi="仿宋_GB2312" w:eastAsia="仿宋_GB2312" w:cs="仿宋_GB2312"/>
          <w:color w:val="000000"/>
          <w:sz w:val="32"/>
          <w:szCs w:val="32"/>
        </w:rPr>
        <w:t>至</w:t>
      </w:r>
      <w:r>
        <w:rPr>
          <w:rFonts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snapToGrid w:val="0"/>
          <w:color w:val="000000"/>
          <w:sz w:val="32"/>
          <w:szCs w:val="32"/>
        </w:rPr>
        <w:t>基本建成与具有茶乡特色的现代化中等城市相适应的“一核一辅多带”教育配套，基本建成与安溪经济社会地位相匹配、公平公益优质的基础教育体系，基本夯实“教育强县”各项基础。</w:t>
      </w:r>
      <w:r>
        <w:rPr>
          <w:rFonts w:hint="eastAsia" w:ascii="仿宋_GB2312" w:hAnsi="仿宋_GB2312" w:eastAsia="仿宋_GB2312" w:cs="仿宋_GB2312"/>
          <w:color w:val="000000"/>
          <w:sz w:val="32"/>
          <w:szCs w:val="32"/>
        </w:rPr>
        <w:t>全面落实立德树人根本任务，</w:t>
      </w:r>
      <w:r>
        <w:rPr>
          <w:rFonts w:hint="eastAsia" w:ascii="仿宋_GB2312" w:hAnsi="仿宋_GB2312" w:eastAsia="仿宋_GB2312" w:cs="仿宋_GB2312"/>
          <w:snapToGrid w:val="0"/>
          <w:color w:val="000000"/>
          <w:sz w:val="32"/>
          <w:szCs w:val="32"/>
        </w:rPr>
        <w:t>努力实现城乡居民“人有所学、学有优教”，教育服务经济社会发展能力显著增强，教育总体水平、人民群众教育获得感和满意度大幅提升。</w:t>
      </w:r>
    </w:p>
    <w:p>
      <w:pPr>
        <w:pStyle w:val="7"/>
        <w:spacing w:beforeAutospacing="0" w:afterAutospacing="0" w:line="580" w:lineRule="exact"/>
        <w:ind w:firstLine="640" w:firstLineChars="200"/>
        <w:jc w:val="both"/>
        <w:rPr>
          <w:rFonts w:ascii="楷体_GB2312" w:hAnsi="楷体_GB2312" w:eastAsia="楷体_GB2312" w:cs="Times New Roman"/>
          <w:b w:val="0"/>
          <w:bCs w:val="0"/>
          <w:color w:val="000000"/>
          <w:sz w:val="32"/>
          <w:szCs w:val="32"/>
        </w:rPr>
      </w:pPr>
      <w:r>
        <w:rPr>
          <w:rFonts w:hint="eastAsia" w:ascii="楷体_GB2312" w:hAnsi="楷体_GB2312" w:eastAsia="楷体_GB2312" w:cs="楷体_GB2312"/>
          <w:b w:val="0"/>
          <w:bCs w:val="0"/>
          <w:color w:val="000000"/>
          <w:sz w:val="32"/>
          <w:szCs w:val="32"/>
        </w:rPr>
        <w:t>（二）具体指标</w:t>
      </w:r>
    </w:p>
    <w:p>
      <w:pPr>
        <w:pStyle w:val="7"/>
        <w:spacing w:beforeAutospacing="0" w:afterAutospacing="0" w:line="580" w:lineRule="exact"/>
        <w:ind w:firstLine="640" w:firstLineChars="200"/>
        <w:jc w:val="both"/>
        <w:rPr>
          <w:rFonts w:ascii="仿宋_GB2312" w:hAnsi="仿宋_GB2312" w:eastAsia="仿宋_GB2312" w:cs="Times New Roman"/>
          <w:color w:val="000000"/>
          <w:spacing w:val="6"/>
          <w:sz w:val="32"/>
          <w:szCs w:val="32"/>
        </w:rPr>
      </w:pP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至</w:t>
      </w:r>
      <w:r>
        <w:rPr>
          <w:rFonts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rPr>
        <w:t>年，全县学前三年入园率超过</w:t>
      </w:r>
      <w:r>
        <w:rPr>
          <w:rFonts w:ascii="仿宋_GB2312" w:hAnsi="仿宋_GB2312" w:eastAsia="仿宋_GB2312" w:cs="仿宋_GB2312"/>
          <w:color w:val="000000"/>
          <w:sz w:val="32"/>
          <w:szCs w:val="32"/>
        </w:rPr>
        <w:t>99%</w:t>
      </w:r>
      <w:r>
        <w:rPr>
          <w:rFonts w:hint="eastAsia" w:ascii="仿宋_GB2312" w:hAnsi="仿宋_GB2312" w:eastAsia="仿宋_GB2312" w:cs="仿宋_GB2312"/>
          <w:color w:val="000000"/>
          <w:sz w:val="32"/>
          <w:szCs w:val="32"/>
        </w:rPr>
        <w:t>以上，学前教育公办率达到</w:t>
      </w:r>
      <w:r>
        <w:rPr>
          <w:rFonts w:ascii="仿宋_GB2312" w:hAnsi="仿宋_GB2312" w:eastAsia="仿宋_GB2312" w:cs="仿宋_GB2312"/>
          <w:color w:val="000000"/>
          <w:sz w:val="32"/>
          <w:szCs w:val="32"/>
        </w:rPr>
        <w:t>70%</w:t>
      </w:r>
      <w:r>
        <w:rPr>
          <w:rFonts w:hint="eastAsia" w:ascii="仿宋_GB2312" w:hAnsi="仿宋_GB2312" w:eastAsia="仿宋_GB2312" w:cs="仿宋_GB2312"/>
          <w:color w:val="000000"/>
          <w:sz w:val="32"/>
          <w:szCs w:val="32"/>
        </w:rPr>
        <w:t>以上，普惠率保持在</w:t>
      </w:r>
      <w:r>
        <w:rPr>
          <w:rFonts w:ascii="仿宋_GB2312" w:hAnsi="仿宋_GB2312" w:eastAsia="仿宋_GB2312" w:cs="仿宋_GB2312"/>
          <w:color w:val="000000"/>
          <w:sz w:val="32"/>
          <w:szCs w:val="32"/>
        </w:rPr>
        <w:t>95%</w:t>
      </w:r>
      <w:r>
        <w:rPr>
          <w:rFonts w:hint="eastAsia" w:ascii="仿宋_GB2312" w:hAnsi="仿宋_GB2312" w:eastAsia="仿宋_GB2312" w:cs="仿宋_GB2312"/>
          <w:color w:val="000000"/>
          <w:sz w:val="32"/>
          <w:szCs w:val="32"/>
        </w:rPr>
        <w:t>以上，各级示范性幼儿园在园幼儿占比达到</w:t>
      </w:r>
      <w:r>
        <w:rPr>
          <w:rFonts w:ascii="仿宋_GB2312" w:hAnsi="仿宋_GB2312" w:eastAsia="仿宋_GB2312" w:cs="仿宋_GB2312"/>
          <w:color w:val="000000"/>
          <w:sz w:val="32"/>
          <w:szCs w:val="32"/>
        </w:rPr>
        <w:t>50%</w:t>
      </w:r>
      <w:r>
        <w:rPr>
          <w:rFonts w:hint="eastAsia" w:ascii="仿宋_GB2312" w:hAnsi="仿宋_GB2312" w:eastAsia="仿宋_GB2312" w:cs="仿宋_GB2312"/>
          <w:color w:val="000000"/>
          <w:sz w:val="32"/>
          <w:szCs w:val="32"/>
        </w:rPr>
        <w:t>以上，学前教育乡村办学点</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达到标准化要求，</w:t>
      </w:r>
      <w:r>
        <w:rPr>
          <w:rFonts w:hint="eastAsia" w:ascii="仿宋_GB2312" w:hAnsi="仿宋_GB2312" w:eastAsia="仿宋_GB2312" w:cs="仿宋_GB2312"/>
          <w:color w:val="000000"/>
          <w:spacing w:val="6"/>
          <w:sz w:val="32"/>
          <w:szCs w:val="32"/>
        </w:rPr>
        <w:t>通过县域学前教育普及普惠督导评估认定。</w:t>
      </w:r>
    </w:p>
    <w:p>
      <w:pPr>
        <w:pStyle w:val="7"/>
        <w:spacing w:beforeAutospacing="0" w:afterAutospacing="0" w:line="580" w:lineRule="exact"/>
        <w:ind w:firstLine="640" w:firstLineChars="200"/>
        <w:jc w:val="both"/>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推进义务教育优质均衡发展，九年义务教育巩固率稳定在</w:t>
      </w:r>
      <w:r>
        <w:rPr>
          <w:rFonts w:ascii="仿宋_GB2312" w:hAnsi="仿宋_GB2312" w:eastAsia="仿宋_GB2312" w:cs="仿宋_GB2312"/>
          <w:color w:val="000000"/>
          <w:sz w:val="32"/>
          <w:szCs w:val="32"/>
        </w:rPr>
        <w:t>99%</w:t>
      </w:r>
      <w:r>
        <w:rPr>
          <w:rFonts w:hint="eastAsia" w:ascii="仿宋_GB2312" w:hAnsi="仿宋_GB2312" w:eastAsia="仿宋_GB2312" w:cs="仿宋_GB2312"/>
          <w:color w:val="000000"/>
          <w:sz w:val="32"/>
          <w:szCs w:val="32"/>
        </w:rPr>
        <w:t>以上（其中，小学教育巩固率达</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napToGrid w:val="0"/>
          <w:color w:val="000000"/>
          <w:sz w:val="32"/>
          <w:szCs w:val="32"/>
        </w:rPr>
        <w:t>义务教育阶段适龄随迁子女在公办学校就读的比例保持在</w:t>
      </w:r>
      <w:r>
        <w:rPr>
          <w:rFonts w:ascii="仿宋_GB2312" w:hAnsi="仿宋_GB2312" w:eastAsia="仿宋_GB2312" w:cs="仿宋_GB2312"/>
          <w:snapToGrid w:val="0"/>
          <w:color w:val="000000"/>
          <w:sz w:val="32"/>
          <w:szCs w:val="32"/>
        </w:rPr>
        <w:t>93%</w:t>
      </w:r>
      <w:r>
        <w:rPr>
          <w:rFonts w:hint="eastAsia" w:ascii="仿宋_GB2312" w:hAnsi="仿宋_GB2312" w:eastAsia="仿宋_GB2312" w:cs="仿宋_GB2312"/>
          <w:snapToGrid w:val="0"/>
          <w:color w:val="000000"/>
          <w:sz w:val="32"/>
          <w:szCs w:val="32"/>
        </w:rPr>
        <w:t>以上；“一核一辅”</w:t>
      </w:r>
      <w:r>
        <w:rPr>
          <w:rFonts w:hint="eastAsia" w:ascii="仿宋_GB2312" w:hAnsi="仿宋_GB2312" w:eastAsia="仿宋_GB2312" w:cs="仿宋_GB2312"/>
          <w:color w:val="000000"/>
          <w:sz w:val="32"/>
          <w:szCs w:val="32"/>
        </w:rPr>
        <w:t>区域（凤城、城厢、参内、官桥、龙门、湖头等6个乡镇）义务教育阶段学校学位供给量达全县</w:t>
      </w:r>
      <w:r>
        <w:rPr>
          <w:rFonts w:ascii="仿宋_GB2312" w:hAnsi="仿宋_GB2312" w:eastAsia="仿宋_GB2312" w:cs="仿宋_GB2312"/>
          <w:color w:val="000000"/>
          <w:sz w:val="32"/>
          <w:szCs w:val="32"/>
        </w:rPr>
        <w:t>90%</w:t>
      </w:r>
      <w:r>
        <w:rPr>
          <w:rFonts w:hint="eastAsia" w:ascii="仿宋_GB2312" w:hAnsi="仿宋_GB2312" w:eastAsia="仿宋_GB2312" w:cs="仿宋_GB2312"/>
          <w:color w:val="000000"/>
          <w:sz w:val="32"/>
          <w:szCs w:val="32"/>
        </w:rPr>
        <w:t>以上；在国家和省级中小学教育质量监测中，全县义务教育阶段学生发展指数超过全省平均水平；初中教育教学质量稳步提升，超过全市平均水平，学生综合素质得到全面发展。</w:t>
      </w:r>
      <w:r>
        <w:rPr>
          <w:rFonts w:ascii="仿宋_GB2312" w:hAnsi="仿宋_GB2312" w:eastAsia="仿宋_GB2312" w:cs="仿宋_GB2312"/>
          <w:color w:val="000000"/>
          <w:sz w:val="32"/>
          <w:szCs w:val="32"/>
        </w:rPr>
        <w:t>80%</w:t>
      </w:r>
      <w:r>
        <w:rPr>
          <w:rFonts w:hint="eastAsia" w:ascii="仿宋_GB2312" w:hAnsi="仿宋_GB2312" w:eastAsia="仿宋_GB2312" w:cs="仿宋_GB2312"/>
          <w:color w:val="000000"/>
          <w:sz w:val="32"/>
          <w:szCs w:val="32"/>
        </w:rPr>
        <w:t>左右学校通过省义务教育管理标准化评估验收</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实现乡村温馨校园全覆盖。</w:t>
      </w:r>
    </w:p>
    <w:p>
      <w:pPr>
        <w:pStyle w:val="7"/>
        <w:spacing w:beforeAutospacing="0" w:afterAutospacing="0" w:line="580" w:lineRule="exact"/>
        <w:ind w:firstLine="640" w:firstLineChars="200"/>
        <w:jc w:val="both"/>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全面普及高中阶段教育，</w:t>
      </w:r>
      <w:r>
        <w:rPr>
          <w:rFonts w:hint="eastAsia" w:ascii="仿宋_GB2312" w:hAnsi="仿宋_GB2312" w:eastAsia="仿宋_GB2312" w:cs="仿宋_GB2312"/>
          <w:snapToGrid w:val="0"/>
          <w:color w:val="000000"/>
          <w:sz w:val="32"/>
          <w:szCs w:val="32"/>
        </w:rPr>
        <w:t>县内高中阶段学位供给率达</w:t>
      </w:r>
      <w:r>
        <w:rPr>
          <w:rFonts w:ascii="仿宋_GB2312" w:hAnsi="仿宋_GB2312" w:eastAsia="仿宋_GB2312" w:cs="仿宋_GB2312"/>
          <w:snapToGrid w:val="0"/>
          <w:color w:val="000000"/>
          <w:sz w:val="32"/>
          <w:szCs w:val="32"/>
        </w:rPr>
        <w:t>90%</w:t>
      </w:r>
      <w:r>
        <w:rPr>
          <w:rFonts w:hint="eastAsia" w:ascii="仿宋_GB2312" w:hAnsi="仿宋_GB2312" w:eastAsia="仿宋_GB2312" w:cs="仿宋_GB2312"/>
          <w:snapToGrid w:val="0"/>
          <w:color w:val="000000"/>
          <w:sz w:val="32"/>
          <w:szCs w:val="32"/>
        </w:rPr>
        <w:t>以上，高中阶段毛入学率达</w:t>
      </w:r>
      <w:r>
        <w:rPr>
          <w:rFonts w:ascii="仿宋_GB2312" w:hAnsi="仿宋_GB2312" w:eastAsia="仿宋_GB2312" w:cs="仿宋_GB2312"/>
          <w:snapToGrid w:val="0"/>
          <w:color w:val="000000"/>
          <w:sz w:val="32"/>
          <w:szCs w:val="32"/>
        </w:rPr>
        <w:t>97%</w:t>
      </w:r>
      <w:r>
        <w:rPr>
          <w:rFonts w:hint="eastAsia" w:ascii="仿宋_GB2312" w:hAnsi="仿宋_GB2312" w:eastAsia="仿宋_GB2312" w:cs="仿宋_GB2312"/>
          <w:snapToGrid w:val="0"/>
          <w:color w:val="000000"/>
          <w:sz w:val="32"/>
          <w:szCs w:val="32"/>
        </w:rPr>
        <w:t>以上</w:t>
      </w:r>
      <w:r>
        <w:rPr>
          <w:rFonts w:hint="eastAsia" w:ascii="仿宋_GB2312" w:hAnsi="仿宋_GB2312" w:eastAsia="仿宋_GB2312" w:cs="仿宋_GB2312"/>
          <w:color w:val="000000"/>
          <w:sz w:val="32"/>
          <w:szCs w:val="32"/>
        </w:rPr>
        <w:t>，全县高中学位新增</w:t>
      </w:r>
      <w:r>
        <w:rPr>
          <w:rFonts w:ascii="仿宋_GB2312" w:hAnsi="仿宋_GB2312" w:eastAsia="仿宋_GB2312" w:cs="仿宋_GB2312"/>
          <w:color w:val="000000"/>
          <w:sz w:val="32"/>
          <w:szCs w:val="32"/>
        </w:rPr>
        <w:t>6000</w:t>
      </w:r>
      <w:r>
        <w:rPr>
          <w:rFonts w:hint="eastAsia" w:ascii="仿宋_GB2312" w:hAnsi="仿宋_GB2312" w:eastAsia="仿宋_GB2312" w:cs="仿宋_GB2312"/>
          <w:color w:val="000000"/>
          <w:sz w:val="32"/>
          <w:szCs w:val="32"/>
        </w:rPr>
        <w:t>人以上；高考特殊类型招生控制线、本科线上线率超过全省平均水平，录取“双一流”高校学生比率逐年增长。</w:t>
      </w:r>
    </w:p>
    <w:p>
      <w:pPr>
        <w:pStyle w:val="7"/>
        <w:spacing w:beforeAutospacing="0" w:afterAutospacing="0" w:line="580" w:lineRule="exact"/>
        <w:ind w:firstLine="640" w:firstLineChars="200"/>
        <w:jc w:val="both"/>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特殊教育向学前和高中阶段“两头延伸”得到优化提升，全县残疾儿童少年入学率达到</w:t>
      </w:r>
      <w:r>
        <w:rPr>
          <w:rFonts w:ascii="仿宋_GB2312" w:hAnsi="仿宋_GB2312" w:eastAsia="仿宋_GB2312" w:cs="仿宋_GB2312"/>
          <w:color w:val="000000"/>
          <w:sz w:val="32"/>
          <w:szCs w:val="32"/>
        </w:rPr>
        <w:t>95%</w:t>
      </w:r>
      <w:r>
        <w:rPr>
          <w:rFonts w:hint="eastAsia" w:ascii="仿宋_GB2312" w:hAnsi="仿宋_GB2312" w:eastAsia="仿宋_GB2312" w:cs="仿宋_GB2312"/>
          <w:color w:val="000000"/>
          <w:sz w:val="32"/>
          <w:szCs w:val="32"/>
        </w:rPr>
        <w:t>以上</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家庭经济困难学生、残疾儿童少年等受教育机会得到更好保障，在校残疾学生</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人以上的普通学校建设资源教室和无障碍设施；每个乡镇建设随班就读基地学校小学、初中至少各</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所。</w:t>
      </w:r>
    </w:p>
    <w:p>
      <w:pPr>
        <w:pStyle w:val="3"/>
        <w:spacing w:line="580" w:lineRule="exact"/>
        <w:ind w:firstLine="640"/>
        <w:rPr>
          <w:rFonts w:ascii="黑体" w:hAnsi="黑体" w:eastAsia="黑体" w:cs="Times New Roman"/>
          <w:color w:val="000000"/>
        </w:rPr>
      </w:pPr>
      <w:r>
        <w:rPr>
          <w:rFonts w:hint="eastAsia" w:ascii="黑体" w:hAnsi="黑体" w:eastAsia="黑体" w:cs="黑体"/>
          <w:color w:val="000000"/>
        </w:rPr>
        <w:t>三、主要任务</w:t>
      </w:r>
    </w:p>
    <w:p>
      <w:pPr>
        <w:pStyle w:val="7"/>
        <w:spacing w:beforeAutospacing="0" w:afterAutospacing="0" w:line="580" w:lineRule="exact"/>
        <w:ind w:firstLine="640" w:firstLineChars="200"/>
        <w:jc w:val="both"/>
        <w:rPr>
          <w:rFonts w:ascii="楷体_GB2312" w:hAnsi="楷体_GB2312" w:eastAsia="楷体_GB2312" w:cs="Times New Roman"/>
          <w:b w:val="0"/>
          <w:bCs w:val="0"/>
          <w:color w:val="000000"/>
          <w:sz w:val="32"/>
          <w:szCs w:val="32"/>
        </w:rPr>
      </w:pPr>
      <w:r>
        <w:rPr>
          <w:rFonts w:hint="eastAsia" w:ascii="楷体_GB2312" w:hAnsi="楷体_GB2312" w:eastAsia="楷体_GB2312" w:cs="楷体_GB2312"/>
          <w:b w:val="0"/>
          <w:bCs w:val="0"/>
          <w:color w:val="000000"/>
          <w:sz w:val="32"/>
          <w:szCs w:val="32"/>
        </w:rPr>
        <w:t>（一）学前教育方面</w:t>
      </w:r>
    </w:p>
    <w:p>
      <w:pPr>
        <w:pStyle w:val="2"/>
        <w:spacing w:line="580" w:lineRule="exact"/>
        <w:ind w:firstLine="642"/>
        <w:rPr>
          <w:rFonts w:ascii="仿宋_GB2312" w:hAnsi="仿宋_GB2312" w:eastAsia="仿宋_GB2312"/>
          <w:color w:val="000000"/>
          <w:sz w:val="32"/>
          <w:szCs w:val="32"/>
        </w:rPr>
      </w:pP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新改扩建一批公办幼儿园。</w:t>
      </w:r>
      <w:r>
        <w:rPr>
          <w:rFonts w:hint="eastAsia" w:ascii="仿宋_GB2312" w:hAnsi="仿宋_GB2312" w:eastAsia="仿宋_GB2312" w:cs="仿宋_GB2312"/>
          <w:color w:val="000000"/>
          <w:sz w:val="32"/>
          <w:szCs w:val="32"/>
        </w:rPr>
        <w:t>按</w:t>
      </w:r>
      <w:r>
        <w:rPr>
          <w:rFonts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rPr>
        <w:t>年全县学前教育公办率达到</w:t>
      </w:r>
      <w:r>
        <w:rPr>
          <w:rFonts w:ascii="仿宋_GB2312" w:hAnsi="仿宋_GB2312" w:eastAsia="仿宋_GB2312" w:cs="仿宋_GB2312"/>
          <w:color w:val="000000"/>
          <w:sz w:val="32"/>
          <w:szCs w:val="32"/>
        </w:rPr>
        <w:t>70</w:t>
      </w:r>
      <w:r>
        <w:rPr>
          <w:rFonts w:hint="eastAsia" w:ascii="仿宋_GB2312" w:hAnsi="仿宋_GB2312" w:eastAsia="仿宋_GB2312" w:cs="仿宋_GB2312"/>
          <w:color w:val="000000"/>
          <w:sz w:val="32"/>
          <w:szCs w:val="32"/>
        </w:rPr>
        <w:t>％的奋斗目标，加速推进城东第二实幼、官桥镇毓秀幼儿园等</w:t>
      </w:r>
      <w:r>
        <w:rPr>
          <w:rFonts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rPr>
        <w:t>个公办园建成并投入使用。每个乡镇至少办好一所公办中心园，同时依托村独立园或联合办园等方式，满足农村适龄幼儿入园需求。</w:t>
      </w:r>
    </w:p>
    <w:p>
      <w:pPr>
        <w:pStyle w:val="2"/>
        <w:spacing w:line="580" w:lineRule="exact"/>
        <w:ind w:firstLine="642"/>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责任单位：</w:t>
      </w:r>
      <w:r>
        <w:rPr>
          <w:rFonts w:hint="eastAsia" w:ascii="仿宋_GB2312" w:hAnsi="仿宋_GB2312" w:eastAsia="仿宋_GB2312" w:cs="仿宋_GB2312"/>
          <w:color w:val="000000"/>
          <w:sz w:val="32"/>
          <w:szCs w:val="32"/>
        </w:rPr>
        <w:t>教育局、发改局、财政局、资源局、住建局，相关乡镇</w:t>
      </w:r>
    </w:p>
    <w:p>
      <w:pPr>
        <w:pStyle w:val="2"/>
        <w:spacing w:line="580" w:lineRule="exact"/>
        <w:ind w:firstLine="643" w:firstLineChars="200"/>
        <w:rPr>
          <w:rFonts w:ascii="仿宋_GB2312" w:hAnsi="仿宋_GB2312" w:eastAsia="仿宋_GB2312"/>
          <w:color w:val="000000"/>
          <w:sz w:val="32"/>
          <w:szCs w:val="32"/>
        </w:rPr>
      </w:pPr>
      <w:r>
        <w:rPr>
          <w:rFonts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rPr>
        <w:t>落实城镇小区配套幼儿园建设。</w:t>
      </w:r>
      <w:r>
        <w:rPr>
          <w:rFonts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rPr>
        <w:t>年前，推动鼎盛天辰、大唐国韵、清溪新城等</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个小区配套园建成并将产权移交教育部门办成公办幼儿园。进一步规范社会力量办园，积极扶持民办园提供普惠性服务，扩大普惠性学位供给，逐步化解和消除学前教育“大园额”“大班额”现象。</w:t>
      </w:r>
    </w:p>
    <w:p>
      <w:pPr>
        <w:pStyle w:val="2"/>
        <w:spacing w:line="58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责任单位：</w:t>
      </w:r>
      <w:r>
        <w:rPr>
          <w:rFonts w:hint="eastAsia" w:ascii="仿宋_GB2312" w:hAnsi="仿宋_GB2312" w:eastAsia="仿宋_GB2312" w:cs="仿宋_GB2312"/>
          <w:color w:val="000000"/>
          <w:sz w:val="32"/>
          <w:szCs w:val="32"/>
        </w:rPr>
        <w:t>教育局、资源局、住建局、财政局、相关乡镇</w:t>
      </w:r>
    </w:p>
    <w:p>
      <w:pPr>
        <w:pStyle w:val="2"/>
        <w:spacing w:line="580" w:lineRule="exact"/>
        <w:ind w:firstLine="642"/>
        <w:rPr>
          <w:rFonts w:ascii="仿宋_GB2312" w:hAnsi="仿宋_GB2312" w:eastAsia="仿宋_GB2312"/>
          <w:color w:val="000000"/>
          <w:sz w:val="32"/>
          <w:szCs w:val="32"/>
        </w:rPr>
      </w:pPr>
      <w:r>
        <w:rPr>
          <w:rFonts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rPr>
        <w:t>支持创建示范性幼儿园。</w:t>
      </w:r>
      <w:r>
        <w:rPr>
          <w:rFonts w:hint="eastAsia" w:ascii="仿宋_GB2312" w:hAnsi="仿宋_GB2312" w:eastAsia="仿宋_GB2312" w:cs="仿宋_GB2312"/>
          <w:color w:val="000000"/>
          <w:sz w:val="32"/>
          <w:szCs w:val="32"/>
        </w:rPr>
        <w:t>支持十七幼、凤山幼儿园、虎邱中心园等</w:t>
      </w: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所公办园创建县级以上示范幼儿园，发挥示范引领作用，促进学前教育高质量发展。</w:t>
      </w:r>
    </w:p>
    <w:p>
      <w:pPr>
        <w:pStyle w:val="2"/>
        <w:spacing w:line="580" w:lineRule="exact"/>
        <w:ind w:firstLine="642"/>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责任单位：</w:t>
      </w:r>
      <w:r>
        <w:rPr>
          <w:rFonts w:hint="eastAsia" w:ascii="仿宋_GB2312" w:hAnsi="仿宋_GB2312" w:eastAsia="仿宋_GB2312" w:cs="仿宋_GB2312"/>
          <w:color w:val="000000"/>
          <w:sz w:val="32"/>
          <w:szCs w:val="32"/>
        </w:rPr>
        <w:t>教育局、财政局，相关乡镇</w:t>
      </w:r>
    </w:p>
    <w:p>
      <w:pPr>
        <w:pStyle w:val="2"/>
        <w:spacing w:line="580" w:lineRule="exact"/>
        <w:ind w:firstLine="642"/>
        <w:rPr>
          <w:rFonts w:ascii="仿宋_GB2312" w:hAnsi="仿宋_GB2312" w:eastAsia="仿宋_GB2312"/>
          <w:color w:val="000000"/>
          <w:sz w:val="32"/>
          <w:szCs w:val="32"/>
        </w:rPr>
      </w:pPr>
      <w:r>
        <w:rPr>
          <w:rFonts w:ascii="仿宋_GB2312" w:hAnsi="仿宋_GB2312" w:eastAsia="仿宋_GB2312" w:cs="仿宋_GB2312"/>
          <w:b/>
          <w:bCs/>
          <w:color w:val="000000"/>
          <w:sz w:val="32"/>
          <w:szCs w:val="32"/>
        </w:rPr>
        <w:t>4.</w:t>
      </w:r>
      <w:r>
        <w:rPr>
          <w:rFonts w:hint="eastAsia" w:ascii="仿宋_GB2312" w:hAnsi="仿宋_GB2312" w:eastAsia="仿宋_GB2312" w:cs="仿宋_GB2312"/>
          <w:b/>
          <w:bCs/>
          <w:color w:val="000000"/>
          <w:sz w:val="32"/>
          <w:szCs w:val="32"/>
        </w:rPr>
        <w:t>全面推进乡村办学点标准化建设。</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开展乡村学前教育办学点建设和评估</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至</w:t>
      </w:r>
      <w:r>
        <w:rPr>
          <w:rFonts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rPr>
        <w:t>年学前教育办学点</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达到《福建省乡村学前教育办学点基本条件》要求。充分发挥乡镇中心幼儿园、公办园的辐射指导作用，推动乡镇中心幼儿园与乡村学前教育办学点在教师交流、经费安排、教育科研、绩效考核等方面实行一体化管理。</w:t>
      </w:r>
    </w:p>
    <w:p>
      <w:pPr>
        <w:pStyle w:val="2"/>
        <w:spacing w:line="580" w:lineRule="exact"/>
        <w:ind w:firstLine="642"/>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责任单位：</w:t>
      </w:r>
      <w:r>
        <w:rPr>
          <w:rFonts w:hint="eastAsia" w:ascii="仿宋_GB2312" w:hAnsi="仿宋_GB2312" w:eastAsia="仿宋_GB2312" w:cs="仿宋_GB2312"/>
          <w:color w:val="000000"/>
          <w:sz w:val="32"/>
          <w:szCs w:val="32"/>
        </w:rPr>
        <w:t>教育局、财政局、人社局，相关乡镇</w:t>
      </w:r>
    </w:p>
    <w:p>
      <w:pPr>
        <w:pStyle w:val="7"/>
        <w:numPr>
          <w:ilvl w:val="0"/>
          <w:numId w:val="1"/>
        </w:numPr>
        <w:spacing w:beforeAutospacing="0" w:afterAutospacing="0" w:line="580" w:lineRule="exact"/>
        <w:ind w:firstLine="640" w:firstLineChars="200"/>
        <w:jc w:val="both"/>
        <w:rPr>
          <w:rFonts w:ascii="楷体_GB2312" w:hAnsi="楷体_GB2312" w:eastAsia="楷体_GB2312" w:cs="Times New Roman"/>
          <w:b w:val="0"/>
          <w:bCs w:val="0"/>
          <w:color w:val="000000"/>
          <w:sz w:val="32"/>
          <w:szCs w:val="32"/>
        </w:rPr>
      </w:pPr>
      <w:r>
        <w:rPr>
          <w:rFonts w:hint="eastAsia" w:ascii="楷体_GB2312" w:hAnsi="楷体_GB2312" w:eastAsia="楷体_GB2312" w:cs="楷体_GB2312"/>
          <w:b w:val="0"/>
          <w:bCs w:val="0"/>
          <w:color w:val="000000"/>
          <w:sz w:val="32"/>
          <w:szCs w:val="32"/>
        </w:rPr>
        <w:t>义务教育方面</w:t>
      </w:r>
    </w:p>
    <w:p>
      <w:pPr>
        <w:pStyle w:val="8"/>
        <w:spacing w:after="0" w:line="580" w:lineRule="exact"/>
        <w:ind w:firstLine="643" w:firstLineChars="200"/>
        <w:rPr>
          <w:rFonts w:ascii="仿宋_GB2312" w:hAnsi="仿宋_GB2312" w:eastAsia="仿宋_GB2312" w:cs="Times New Roman"/>
          <w:color w:val="000000"/>
          <w:kern w:val="2"/>
          <w:sz w:val="32"/>
          <w:szCs w:val="32"/>
        </w:rPr>
      </w:pPr>
      <w:r>
        <w:rPr>
          <w:rFonts w:ascii="仿宋_GB2312" w:hAnsi="仿宋_GB2312" w:eastAsia="仿宋_GB2312" w:cs="仿宋_GB2312"/>
          <w:b/>
          <w:bCs/>
          <w:color w:val="000000"/>
          <w:kern w:val="2"/>
          <w:sz w:val="32"/>
          <w:szCs w:val="32"/>
        </w:rPr>
        <w:t>5.</w:t>
      </w:r>
      <w:r>
        <w:rPr>
          <w:rFonts w:hint="eastAsia" w:ascii="仿宋_GB2312" w:hAnsi="仿宋_GB2312" w:eastAsia="仿宋_GB2312" w:cs="仿宋_GB2312"/>
          <w:b/>
          <w:bCs/>
          <w:color w:val="000000"/>
          <w:kern w:val="2"/>
          <w:sz w:val="32"/>
          <w:szCs w:val="32"/>
        </w:rPr>
        <w:t>全面落实“五育并举”。</w:t>
      </w:r>
      <w:r>
        <w:rPr>
          <w:rFonts w:hint="eastAsia" w:ascii="仿宋_GB2312" w:hAnsi="仿宋_GB2312" w:eastAsia="仿宋_GB2312" w:cs="仿宋_GB2312"/>
          <w:color w:val="000000"/>
          <w:kern w:val="2"/>
          <w:sz w:val="32"/>
          <w:szCs w:val="32"/>
        </w:rPr>
        <w:t>构建大中小幼一体化思政工作体系，推进习近平新时代中国特色社会主义思想进教材、进课堂、进头脑，深入开展“四史”教育。促进学生综合素质全面提升，开齐开足上好体育课，教会学生</w:t>
      </w:r>
      <w:r>
        <w:rPr>
          <w:rFonts w:ascii="仿宋_GB2312" w:hAnsi="仿宋_GB2312" w:eastAsia="仿宋_GB2312" w:cs="仿宋_GB2312"/>
          <w:color w:val="000000"/>
          <w:kern w:val="2"/>
          <w:sz w:val="32"/>
          <w:szCs w:val="32"/>
        </w:rPr>
        <w:t>1-3</w:t>
      </w:r>
      <w:r>
        <w:rPr>
          <w:rFonts w:hint="eastAsia" w:ascii="仿宋_GB2312" w:hAnsi="仿宋_GB2312" w:eastAsia="仿宋_GB2312" w:cs="仿宋_GB2312"/>
          <w:color w:val="000000"/>
          <w:kern w:val="2"/>
          <w:sz w:val="32"/>
          <w:szCs w:val="32"/>
        </w:rPr>
        <w:t>项运动技能；强化学校美育育人功能，培养学生</w:t>
      </w:r>
      <w:r>
        <w:rPr>
          <w:rFonts w:ascii="仿宋_GB2312" w:hAnsi="仿宋_GB2312" w:eastAsia="仿宋_GB2312" w:cs="仿宋_GB2312"/>
          <w:color w:val="000000"/>
          <w:kern w:val="2"/>
          <w:sz w:val="32"/>
          <w:szCs w:val="32"/>
        </w:rPr>
        <w:t>1-2</w:t>
      </w:r>
      <w:r>
        <w:rPr>
          <w:rFonts w:hint="eastAsia" w:ascii="仿宋_GB2312" w:hAnsi="仿宋_GB2312" w:eastAsia="仿宋_GB2312" w:cs="仿宋_GB2312"/>
          <w:color w:val="000000"/>
          <w:kern w:val="2"/>
          <w:sz w:val="32"/>
          <w:szCs w:val="32"/>
        </w:rPr>
        <w:t>项艺术特长。加强新时代学生健康教育，完善学生体质健康监测评价机制。推进“全国中小学劳动教育实验区”建设。</w:t>
      </w:r>
    </w:p>
    <w:p>
      <w:pPr>
        <w:pStyle w:val="8"/>
        <w:spacing w:after="0" w:line="580" w:lineRule="exact"/>
        <w:ind w:firstLine="643"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责任单位：</w:t>
      </w:r>
      <w:r>
        <w:rPr>
          <w:rFonts w:hint="eastAsia" w:ascii="仿宋_GB2312" w:hAnsi="仿宋_GB2312" w:eastAsia="仿宋_GB2312" w:cs="仿宋_GB2312"/>
          <w:color w:val="000000"/>
          <w:kern w:val="2"/>
          <w:sz w:val="32"/>
          <w:szCs w:val="32"/>
        </w:rPr>
        <w:t>组织部、宣传部，教育局、财政局、文体旅局，相关乡镇</w:t>
      </w:r>
    </w:p>
    <w:p>
      <w:pPr>
        <w:spacing w:line="580" w:lineRule="exact"/>
        <w:ind w:firstLine="643" w:firstLineChars="200"/>
        <w:rPr>
          <w:rFonts w:ascii="仿宋_GB2312" w:hAnsi="仿宋_GB2312" w:eastAsia="仿宋_GB2312" w:cs="Times New Roman"/>
          <w:color w:val="000000"/>
          <w:sz w:val="32"/>
          <w:szCs w:val="32"/>
        </w:rPr>
      </w:pPr>
      <w:r>
        <w:rPr>
          <w:rFonts w:ascii="仿宋_GB2312" w:hAnsi="仿宋_GB2312" w:eastAsia="仿宋_GB2312" w:cs="仿宋_GB2312"/>
          <w:b/>
          <w:bCs/>
          <w:color w:val="000000"/>
          <w:sz w:val="32"/>
          <w:szCs w:val="32"/>
        </w:rPr>
        <w:t>6.</w:t>
      </w:r>
      <w:r>
        <w:rPr>
          <w:rFonts w:hint="eastAsia" w:ascii="仿宋_GB2312" w:hAnsi="仿宋_GB2312" w:eastAsia="仿宋_GB2312" w:cs="仿宋_GB2312"/>
          <w:b/>
          <w:bCs/>
          <w:color w:val="000000"/>
          <w:sz w:val="32"/>
          <w:szCs w:val="32"/>
        </w:rPr>
        <w:t>加速义务教育管理标准化学校创建。</w:t>
      </w:r>
      <w:r>
        <w:rPr>
          <w:rFonts w:ascii="仿宋_GB2312" w:hAnsi="仿宋_GB2312" w:eastAsia="仿宋_GB2312" w:cs="仿宋_GB2312"/>
          <w:color w:val="000000"/>
          <w:sz w:val="32"/>
          <w:szCs w:val="32"/>
        </w:rPr>
        <w:t>2023</w:t>
      </w:r>
      <w:r>
        <w:rPr>
          <w:rFonts w:hint="eastAsia" w:ascii="仿宋_GB2312" w:hAnsi="仿宋_GB2312" w:eastAsia="仿宋_GB2312" w:cs="仿宋_GB2312"/>
          <w:color w:val="000000"/>
          <w:sz w:val="32"/>
          <w:szCs w:val="32"/>
        </w:rPr>
        <w:t>年完成</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所初中校、</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所小学评估创建，</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年完成</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所初中校、</w:t>
      </w: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所小学的评估创建，</w:t>
      </w:r>
      <w:r>
        <w:rPr>
          <w:rFonts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rPr>
        <w:t>年完成</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所初中、</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所小学的评估创建。至</w:t>
      </w:r>
      <w:r>
        <w:rPr>
          <w:rFonts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rPr>
        <w:t>年，全县省级义务教育管理标准化学校通过率达</w:t>
      </w:r>
      <w:r>
        <w:rPr>
          <w:rFonts w:ascii="仿宋_GB2312" w:hAnsi="仿宋_GB2312" w:eastAsia="仿宋_GB2312" w:cs="仿宋_GB2312"/>
          <w:color w:val="000000"/>
          <w:sz w:val="32"/>
          <w:szCs w:val="32"/>
        </w:rPr>
        <w:t>80%</w:t>
      </w:r>
      <w:r>
        <w:rPr>
          <w:rFonts w:hint="eastAsia" w:ascii="仿宋_GB2312" w:hAnsi="仿宋_GB2312" w:eastAsia="仿宋_GB2312" w:cs="仿宋_GB2312"/>
          <w:color w:val="000000"/>
          <w:sz w:val="32"/>
          <w:szCs w:val="32"/>
        </w:rPr>
        <w:t>左右。</w:t>
      </w:r>
    </w:p>
    <w:p>
      <w:pPr>
        <w:pStyle w:val="8"/>
        <w:spacing w:after="0" w:line="580" w:lineRule="exact"/>
        <w:ind w:firstLine="643"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责任单位：</w:t>
      </w:r>
      <w:r>
        <w:rPr>
          <w:rFonts w:hint="eastAsia" w:ascii="仿宋_GB2312" w:hAnsi="仿宋_GB2312" w:eastAsia="仿宋_GB2312" w:cs="仿宋_GB2312"/>
          <w:color w:val="000000"/>
          <w:kern w:val="2"/>
          <w:sz w:val="32"/>
          <w:szCs w:val="32"/>
        </w:rPr>
        <w:t>教育局、财政局、人社局，相关乡镇</w:t>
      </w:r>
    </w:p>
    <w:p>
      <w:pPr>
        <w:pStyle w:val="2"/>
        <w:spacing w:line="580" w:lineRule="exact"/>
        <w:ind w:firstLine="643" w:firstLineChars="200"/>
        <w:rPr>
          <w:rFonts w:ascii="仿宋_GB2312" w:hAnsi="仿宋_GB2312" w:eastAsia="仿宋_GB2312"/>
          <w:color w:val="000000"/>
          <w:sz w:val="32"/>
          <w:szCs w:val="32"/>
        </w:rPr>
      </w:pPr>
      <w:r>
        <w:rPr>
          <w:rFonts w:ascii="仿宋_GB2312" w:hAnsi="仿宋_GB2312" w:eastAsia="仿宋_GB2312" w:cs="仿宋_GB2312"/>
          <w:b/>
          <w:bCs/>
          <w:color w:val="000000"/>
          <w:sz w:val="32"/>
          <w:szCs w:val="32"/>
        </w:rPr>
        <w:t>7.</w:t>
      </w:r>
      <w:r>
        <w:rPr>
          <w:rFonts w:hint="eastAsia" w:ascii="仿宋_GB2312" w:hAnsi="仿宋_GB2312" w:eastAsia="仿宋_GB2312" w:cs="仿宋_GB2312"/>
          <w:b/>
          <w:bCs/>
          <w:color w:val="000000"/>
          <w:sz w:val="32"/>
          <w:szCs w:val="32"/>
        </w:rPr>
        <w:t>培育教育改革优质学校。</w:t>
      </w:r>
      <w:r>
        <w:rPr>
          <w:rFonts w:hint="eastAsia" w:ascii="仿宋_GB2312" w:hAnsi="仿宋_GB2312" w:eastAsia="仿宋_GB2312" w:cs="仿宋_GB2312"/>
          <w:color w:val="000000"/>
          <w:sz w:val="32"/>
          <w:szCs w:val="32"/>
        </w:rPr>
        <w:t>加强义务教育阶段学校建设，培育一批优质学校。力争有</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所以上学校被确定为福建省义务教育教改基地校，至少</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所初中校被认定为泉州市初中教育综合改革新优校。</w:t>
      </w:r>
    </w:p>
    <w:p>
      <w:pPr>
        <w:pStyle w:val="8"/>
        <w:spacing w:after="0" w:line="580" w:lineRule="exact"/>
        <w:ind w:firstLine="643"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责任单位：</w:t>
      </w:r>
      <w:r>
        <w:rPr>
          <w:rFonts w:hint="eastAsia" w:ascii="仿宋_GB2312" w:hAnsi="仿宋_GB2312" w:eastAsia="仿宋_GB2312" w:cs="仿宋_GB2312"/>
          <w:color w:val="000000"/>
          <w:kern w:val="2"/>
          <w:sz w:val="32"/>
          <w:szCs w:val="32"/>
        </w:rPr>
        <w:t>教育局、财政局、人社局，相关乡镇</w:t>
      </w:r>
    </w:p>
    <w:p>
      <w:pPr>
        <w:pStyle w:val="2"/>
        <w:spacing w:line="580" w:lineRule="exact"/>
        <w:ind w:firstLine="643" w:firstLineChars="200"/>
        <w:rPr>
          <w:rFonts w:ascii="仿宋_GB2312" w:hAnsi="仿宋_GB2312" w:eastAsia="仿宋_GB2312"/>
          <w:color w:val="000000"/>
          <w:sz w:val="32"/>
          <w:szCs w:val="32"/>
        </w:rPr>
      </w:pPr>
      <w:r>
        <w:rPr>
          <w:rFonts w:ascii="仿宋_GB2312" w:hAnsi="仿宋_GB2312" w:eastAsia="仿宋_GB2312" w:cs="仿宋_GB2312"/>
          <w:b/>
          <w:bCs/>
          <w:color w:val="000000"/>
          <w:sz w:val="32"/>
          <w:szCs w:val="32"/>
        </w:rPr>
        <w:t>8.</w:t>
      </w:r>
      <w:r>
        <w:rPr>
          <w:rFonts w:hint="eastAsia" w:ascii="仿宋_GB2312" w:hAnsi="仿宋_GB2312" w:eastAsia="仿宋_GB2312" w:cs="仿宋_GB2312"/>
          <w:b/>
          <w:bCs/>
          <w:color w:val="000000"/>
          <w:sz w:val="32"/>
          <w:szCs w:val="32"/>
        </w:rPr>
        <w:t>实现乡村温馨校园建设全覆盖。</w:t>
      </w:r>
      <w:r>
        <w:rPr>
          <w:rFonts w:hint="eastAsia" w:ascii="仿宋_GB2312" w:hAnsi="仿宋_GB2312" w:eastAsia="仿宋_GB2312" w:cs="仿宋_GB2312"/>
          <w:color w:val="000000"/>
          <w:sz w:val="32"/>
          <w:szCs w:val="32"/>
        </w:rPr>
        <w:t>持续改善乡村学校办学条件，不断提高乡村教育发展水平，至</w:t>
      </w:r>
      <w:r>
        <w:rPr>
          <w:rFonts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rPr>
        <w:t>年建设</w:t>
      </w:r>
      <w:r>
        <w:rPr>
          <w:rFonts w:ascii="仿宋_GB2312" w:hAnsi="仿宋_GB2312" w:eastAsia="仿宋_GB2312" w:cs="仿宋_GB2312"/>
          <w:color w:val="000000"/>
          <w:sz w:val="32"/>
          <w:szCs w:val="32"/>
        </w:rPr>
        <w:t>130</w:t>
      </w:r>
      <w:r>
        <w:rPr>
          <w:rFonts w:hint="eastAsia" w:ascii="仿宋_GB2312" w:hAnsi="仿宋_GB2312" w:eastAsia="仿宋_GB2312" w:cs="仿宋_GB2312"/>
          <w:color w:val="000000"/>
          <w:sz w:val="32"/>
          <w:szCs w:val="32"/>
        </w:rPr>
        <w:t>所乡村温馨校园（小学</w:t>
      </w:r>
      <w:r>
        <w:rPr>
          <w:rFonts w:ascii="仿宋_GB2312" w:hAnsi="仿宋_GB2312" w:eastAsia="仿宋_GB2312" w:cs="仿宋_GB2312"/>
          <w:color w:val="000000"/>
          <w:sz w:val="32"/>
          <w:szCs w:val="32"/>
        </w:rPr>
        <w:t>105</w:t>
      </w:r>
      <w:r>
        <w:rPr>
          <w:rFonts w:hint="eastAsia" w:ascii="仿宋_GB2312" w:hAnsi="仿宋_GB2312" w:eastAsia="仿宋_GB2312" w:cs="仿宋_GB2312"/>
          <w:color w:val="000000"/>
          <w:sz w:val="32"/>
          <w:szCs w:val="32"/>
        </w:rPr>
        <w:t>所、初中</w:t>
      </w:r>
      <w:r>
        <w:rPr>
          <w:rFonts w:ascii="仿宋_GB2312" w:hAnsi="仿宋_GB2312" w:eastAsia="仿宋_GB2312" w:cs="仿宋_GB2312"/>
          <w:color w:val="000000"/>
          <w:sz w:val="32"/>
          <w:szCs w:val="32"/>
        </w:rPr>
        <w:t>25</w:t>
      </w:r>
      <w:r>
        <w:rPr>
          <w:rFonts w:hint="eastAsia" w:ascii="仿宋_GB2312" w:hAnsi="仿宋_GB2312" w:eastAsia="仿宋_GB2312" w:cs="仿宋_GB2312"/>
          <w:color w:val="000000"/>
          <w:sz w:val="32"/>
          <w:szCs w:val="32"/>
        </w:rPr>
        <w:t>所），确保每一位农村学生享有公平而有质量的教育。其中，</w:t>
      </w:r>
      <w:r>
        <w:rPr>
          <w:rFonts w:ascii="仿宋_GB2312" w:hAnsi="仿宋_GB2312" w:eastAsia="仿宋_GB2312" w:cs="仿宋_GB2312"/>
          <w:color w:val="000000"/>
          <w:sz w:val="32"/>
          <w:szCs w:val="32"/>
        </w:rPr>
        <w:t>2023</w:t>
      </w:r>
      <w:r>
        <w:rPr>
          <w:rFonts w:hint="eastAsia" w:ascii="仿宋_GB2312" w:hAnsi="仿宋_GB2312" w:eastAsia="仿宋_GB2312" w:cs="仿宋_GB2312"/>
          <w:color w:val="000000"/>
          <w:sz w:val="32"/>
          <w:szCs w:val="32"/>
        </w:rPr>
        <w:t>年完成</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所初中校、</w:t>
      </w:r>
      <w:r>
        <w:rPr>
          <w:rFonts w:ascii="仿宋_GB2312" w:hAnsi="仿宋_GB2312" w:eastAsia="仿宋_GB2312" w:cs="仿宋_GB2312"/>
          <w:color w:val="000000"/>
          <w:sz w:val="32"/>
          <w:szCs w:val="32"/>
        </w:rPr>
        <w:t>44</w:t>
      </w:r>
      <w:r>
        <w:rPr>
          <w:rFonts w:hint="eastAsia" w:ascii="仿宋_GB2312" w:hAnsi="仿宋_GB2312" w:eastAsia="仿宋_GB2312" w:cs="仿宋_GB2312"/>
          <w:color w:val="000000"/>
          <w:sz w:val="32"/>
          <w:szCs w:val="32"/>
        </w:rPr>
        <w:t>所小学的创建，</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年完成</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所初中校、</w:t>
      </w:r>
      <w:r>
        <w:rPr>
          <w:rFonts w:ascii="仿宋_GB2312" w:hAnsi="仿宋_GB2312" w:eastAsia="仿宋_GB2312" w:cs="仿宋_GB2312"/>
          <w:color w:val="000000"/>
          <w:sz w:val="32"/>
          <w:szCs w:val="32"/>
        </w:rPr>
        <w:t>41</w:t>
      </w:r>
      <w:r>
        <w:rPr>
          <w:rFonts w:hint="eastAsia" w:ascii="仿宋_GB2312" w:hAnsi="仿宋_GB2312" w:eastAsia="仿宋_GB2312" w:cs="仿宋_GB2312"/>
          <w:color w:val="000000"/>
          <w:sz w:val="32"/>
          <w:szCs w:val="32"/>
        </w:rPr>
        <w:t>所小学的创建，</w:t>
      </w:r>
      <w:r>
        <w:rPr>
          <w:rFonts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rPr>
        <w:t>年完成</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所初中校、</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所小学的创建。</w:t>
      </w:r>
    </w:p>
    <w:p>
      <w:pPr>
        <w:pStyle w:val="8"/>
        <w:spacing w:after="0" w:line="580" w:lineRule="exact"/>
        <w:ind w:firstLine="643"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责任单位：</w:t>
      </w:r>
      <w:r>
        <w:rPr>
          <w:rFonts w:hint="eastAsia" w:ascii="仿宋_GB2312" w:hAnsi="仿宋_GB2312" w:eastAsia="仿宋_GB2312" w:cs="仿宋_GB2312"/>
          <w:color w:val="000000"/>
          <w:kern w:val="2"/>
          <w:sz w:val="32"/>
          <w:szCs w:val="32"/>
        </w:rPr>
        <w:t>教育局、财政局、住建局、资源局、人社局、生态环境局，相关乡镇</w:t>
      </w:r>
    </w:p>
    <w:p>
      <w:pPr>
        <w:pStyle w:val="8"/>
        <w:spacing w:after="0" w:line="580" w:lineRule="exact"/>
        <w:ind w:firstLine="643" w:firstLineChars="200"/>
        <w:rPr>
          <w:rFonts w:ascii="仿宋_GB2312" w:hAnsi="仿宋_GB2312" w:eastAsia="仿宋_GB2312" w:cs="Times New Roman"/>
          <w:color w:val="000000"/>
          <w:kern w:val="2"/>
          <w:sz w:val="32"/>
          <w:szCs w:val="32"/>
        </w:rPr>
      </w:pPr>
      <w:r>
        <w:rPr>
          <w:rFonts w:ascii="仿宋_GB2312" w:hAnsi="仿宋_GB2312" w:eastAsia="仿宋_GB2312" w:cs="仿宋_GB2312"/>
          <w:b/>
          <w:bCs/>
          <w:color w:val="000000"/>
          <w:kern w:val="2"/>
          <w:sz w:val="32"/>
          <w:szCs w:val="32"/>
        </w:rPr>
        <w:t>9.</w:t>
      </w:r>
      <w:r>
        <w:rPr>
          <w:rFonts w:hint="eastAsia" w:ascii="仿宋_GB2312" w:hAnsi="仿宋_GB2312" w:eastAsia="仿宋_GB2312" w:cs="仿宋_GB2312"/>
          <w:b/>
          <w:bCs/>
          <w:color w:val="000000"/>
          <w:kern w:val="2"/>
          <w:sz w:val="32"/>
          <w:szCs w:val="32"/>
        </w:rPr>
        <w:t>推进课后服务提质增效。</w:t>
      </w:r>
      <w:r>
        <w:rPr>
          <w:rFonts w:hint="eastAsia" w:ascii="仿宋_GB2312" w:hAnsi="仿宋_GB2312" w:eastAsia="仿宋_GB2312" w:cs="仿宋_GB2312"/>
          <w:color w:val="000000"/>
          <w:kern w:val="2"/>
          <w:sz w:val="32"/>
          <w:szCs w:val="32"/>
        </w:rPr>
        <w:t>深入推进“双减”工作，</w:t>
      </w:r>
      <w:r>
        <w:rPr>
          <w:rFonts w:ascii="仿宋_GB2312" w:hAnsi="仿宋_GB2312" w:eastAsia="仿宋_GB2312" w:cs="仿宋_GB2312"/>
          <w:color w:val="000000"/>
          <w:kern w:val="2"/>
          <w:sz w:val="32"/>
          <w:szCs w:val="32"/>
        </w:rPr>
        <w:t>2023</w:t>
      </w:r>
      <w:r>
        <w:rPr>
          <w:rFonts w:hint="eastAsia" w:ascii="仿宋_GB2312" w:hAnsi="仿宋_GB2312" w:eastAsia="仿宋_GB2312" w:cs="仿宋_GB2312"/>
          <w:color w:val="000000"/>
          <w:kern w:val="2"/>
          <w:sz w:val="32"/>
          <w:szCs w:val="32"/>
        </w:rPr>
        <w:t>年前全县义务教育阶段学校实现课后服务“</w:t>
      </w:r>
      <w:r>
        <w:rPr>
          <w:rFonts w:ascii="仿宋_GB2312" w:hAnsi="仿宋_GB2312" w:eastAsia="仿宋_GB2312" w:cs="仿宋_GB2312"/>
          <w:color w:val="000000"/>
          <w:kern w:val="2"/>
          <w:sz w:val="32"/>
          <w:szCs w:val="32"/>
        </w:rPr>
        <w:t>2+N</w:t>
      </w:r>
      <w:r>
        <w:rPr>
          <w:rFonts w:hint="eastAsia" w:ascii="仿宋_GB2312" w:hAnsi="仿宋_GB2312" w:eastAsia="仿宋_GB2312" w:cs="仿宋_GB2312"/>
          <w:color w:val="000000"/>
          <w:kern w:val="2"/>
          <w:sz w:val="32"/>
          <w:szCs w:val="32"/>
        </w:rPr>
        <w:t>”模式全覆盖，城区学校推行“</w:t>
      </w:r>
      <w:r>
        <w:rPr>
          <w:rFonts w:ascii="仿宋_GB2312" w:hAnsi="仿宋_GB2312" w:eastAsia="仿宋_GB2312" w:cs="仿宋_GB2312"/>
          <w:color w:val="000000"/>
          <w:kern w:val="2"/>
          <w:sz w:val="32"/>
          <w:szCs w:val="32"/>
        </w:rPr>
        <w:t>2+3</w:t>
      </w:r>
      <w:r>
        <w:rPr>
          <w:rFonts w:hint="eastAsia" w:ascii="仿宋_GB2312" w:hAnsi="仿宋_GB2312" w:eastAsia="仿宋_GB2312" w:cs="仿宋_GB2312"/>
          <w:color w:val="000000"/>
          <w:kern w:val="2"/>
          <w:sz w:val="32"/>
          <w:szCs w:val="32"/>
        </w:rPr>
        <w:t>”（</w:t>
      </w:r>
      <w:r>
        <w:rPr>
          <w:rFonts w:ascii="仿宋_GB2312" w:hAnsi="仿宋_GB2312" w:eastAsia="仿宋_GB2312" w:cs="仿宋_GB2312"/>
          <w:color w:val="000000"/>
          <w:kern w:val="2"/>
          <w:sz w:val="32"/>
          <w:szCs w:val="32"/>
        </w:rPr>
        <w:t>2</w:t>
      </w:r>
      <w:r>
        <w:rPr>
          <w:rFonts w:hint="eastAsia" w:ascii="仿宋_GB2312" w:hAnsi="仿宋_GB2312" w:eastAsia="仿宋_GB2312" w:cs="仿宋_GB2312"/>
          <w:color w:val="000000"/>
          <w:kern w:val="2"/>
          <w:sz w:val="32"/>
          <w:szCs w:val="32"/>
        </w:rPr>
        <w:t>项基本服务</w:t>
      </w:r>
      <w:r>
        <w:rPr>
          <w:rFonts w:ascii="仿宋_GB2312" w:hAnsi="仿宋_GB2312" w:eastAsia="仿宋_GB2312" w:cs="仿宋_GB2312"/>
          <w:color w:val="000000"/>
          <w:kern w:val="2"/>
          <w:sz w:val="32"/>
          <w:szCs w:val="32"/>
        </w:rPr>
        <w:t>+3</w:t>
      </w:r>
      <w:r>
        <w:rPr>
          <w:rFonts w:hint="eastAsia" w:ascii="仿宋_GB2312" w:hAnsi="仿宋_GB2312" w:eastAsia="仿宋_GB2312" w:cs="仿宋_GB2312"/>
          <w:color w:val="000000"/>
          <w:kern w:val="2"/>
          <w:sz w:val="32"/>
          <w:szCs w:val="32"/>
        </w:rPr>
        <w:t>项拓展服务）课后服务模式的学校达</w:t>
      </w:r>
      <w:r>
        <w:rPr>
          <w:rFonts w:ascii="仿宋_GB2312" w:hAnsi="仿宋_GB2312" w:eastAsia="仿宋_GB2312" w:cs="仿宋_GB2312"/>
          <w:color w:val="000000"/>
          <w:kern w:val="2"/>
          <w:sz w:val="32"/>
          <w:szCs w:val="32"/>
        </w:rPr>
        <w:t>100%</w:t>
      </w:r>
      <w:r>
        <w:rPr>
          <w:rFonts w:hint="eastAsia" w:ascii="仿宋_GB2312" w:hAnsi="仿宋_GB2312" w:eastAsia="仿宋_GB2312" w:cs="仿宋_GB2312"/>
          <w:color w:val="000000"/>
          <w:kern w:val="2"/>
          <w:sz w:val="32"/>
          <w:szCs w:val="32"/>
        </w:rPr>
        <w:t>。</w:t>
      </w:r>
      <w:r>
        <w:rPr>
          <w:rFonts w:ascii="仿宋_GB2312" w:hAnsi="仿宋_GB2312" w:eastAsia="仿宋_GB2312" w:cs="仿宋_GB2312"/>
          <w:color w:val="000000"/>
          <w:kern w:val="2"/>
          <w:sz w:val="32"/>
          <w:szCs w:val="32"/>
        </w:rPr>
        <w:t>2024—2025</w:t>
      </w:r>
      <w:r>
        <w:rPr>
          <w:rFonts w:hint="eastAsia" w:ascii="仿宋_GB2312" w:hAnsi="仿宋_GB2312" w:eastAsia="仿宋_GB2312" w:cs="仿宋_GB2312"/>
          <w:color w:val="000000"/>
          <w:kern w:val="2"/>
          <w:sz w:val="32"/>
          <w:szCs w:val="32"/>
        </w:rPr>
        <w:t>年，进一步完善学校课后服务政策体系，挖掘学校办学潜力，突出办学特色，丰富课后服务内容和形式，打造“清溪素养·艺体双修”特色品牌，持续推动课后服务提质增效。同时，以“笔架学堂”为抓手，融入“党建</w:t>
      </w:r>
      <w:r>
        <w:rPr>
          <w:rFonts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rPr>
        <w:t>”邻里中心建设，让群众享受家门口的优质教育服务。</w:t>
      </w:r>
    </w:p>
    <w:p>
      <w:pPr>
        <w:pStyle w:val="8"/>
        <w:spacing w:after="0" w:line="580" w:lineRule="exact"/>
        <w:ind w:firstLine="643"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责任单位：</w:t>
      </w:r>
      <w:r>
        <w:rPr>
          <w:rFonts w:hint="eastAsia" w:ascii="仿宋_GB2312" w:hAnsi="仿宋_GB2312" w:eastAsia="仿宋_GB2312" w:cs="仿宋_GB2312"/>
          <w:color w:val="000000"/>
          <w:kern w:val="2"/>
          <w:sz w:val="32"/>
          <w:szCs w:val="32"/>
        </w:rPr>
        <w:t>组织部，教育局、发改局、财政局、人社局、文体旅局、工信商局，相关乡镇</w:t>
      </w:r>
    </w:p>
    <w:p>
      <w:pPr>
        <w:pStyle w:val="7"/>
        <w:spacing w:beforeAutospacing="0" w:afterAutospacing="0" w:line="580" w:lineRule="exact"/>
        <w:ind w:firstLine="640" w:firstLineChars="200"/>
        <w:jc w:val="both"/>
        <w:rPr>
          <w:rFonts w:ascii="楷体_GB2312" w:hAnsi="楷体_GB2312" w:eastAsia="楷体_GB2312" w:cs="Times New Roman"/>
          <w:b w:val="0"/>
          <w:bCs w:val="0"/>
          <w:color w:val="000000"/>
          <w:sz w:val="32"/>
          <w:szCs w:val="32"/>
        </w:rPr>
      </w:pPr>
      <w:r>
        <w:rPr>
          <w:rFonts w:hint="eastAsia" w:ascii="楷体_GB2312" w:hAnsi="楷体_GB2312" w:eastAsia="楷体_GB2312" w:cs="楷体_GB2312"/>
          <w:b w:val="0"/>
          <w:bCs w:val="0"/>
          <w:color w:val="000000"/>
          <w:sz w:val="32"/>
          <w:szCs w:val="32"/>
        </w:rPr>
        <w:t>（三）特殊教育方面</w:t>
      </w:r>
    </w:p>
    <w:p>
      <w:pPr>
        <w:pStyle w:val="2"/>
        <w:spacing w:line="580" w:lineRule="exact"/>
        <w:ind w:firstLine="643" w:firstLineChars="200"/>
        <w:rPr>
          <w:rFonts w:hint="eastAsia"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10.</w:t>
      </w:r>
      <w:r>
        <w:rPr>
          <w:rFonts w:hint="eastAsia" w:ascii="仿宋_GB2312" w:hAnsi="仿宋_GB2312" w:eastAsia="仿宋_GB2312" w:cs="仿宋_GB2312"/>
          <w:b/>
          <w:bCs/>
          <w:color w:val="000000"/>
          <w:sz w:val="32"/>
          <w:szCs w:val="32"/>
        </w:rPr>
        <w:t>加强资源教室建设。</w:t>
      </w:r>
      <w:r>
        <w:rPr>
          <w:rFonts w:ascii="仿宋_GB2312" w:hAnsi="仿宋_GB2312" w:eastAsia="仿宋_GB2312" w:cs="仿宋_GB2312"/>
          <w:color w:val="000000"/>
          <w:sz w:val="32"/>
          <w:szCs w:val="32"/>
        </w:rPr>
        <w:t>2023</w:t>
      </w:r>
      <w:r>
        <w:rPr>
          <w:rFonts w:hint="eastAsia" w:ascii="仿宋_GB2312" w:hAnsi="仿宋_GB2312" w:eastAsia="仿宋_GB2312" w:cs="仿宋_GB2312"/>
          <w:color w:val="000000"/>
          <w:sz w:val="32"/>
          <w:szCs w:val="32"/>
        </w:rPr>
        <w:t>年，支持</w:t>
      </w: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所在校残疾学生</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人以上的学校</w:t>
      </w:r>
      <w:r>
        <w:rPr>
          <w:rFonts w:hint="eastAsia" w:ascii="楷体_GB2312" w:hAnsi="楷体_GB2312" w:eastAsia="楷体_GB2312" w:cs="楷体_GB2312"/>
          <w:color w:val="000000"/>
          <w:sz w:val="32"/>
          <w:szCs w:val="32"/>
        </w:rPr>
        <w:t>（初中</w:t>
      </w:r>
      <w:r>
        <w:rPr>
          <w:rFonts w:ascii="楷体_GB2312" w:hAnsi="楷体_GB2312" w:eastAsia="楷体_GB2312" w:cs="楷体_GB2312"/>
          <w:color w:val="000000"/>
          <w:sz w:val="32"/>
          <w:szCs w:val="32"/>
        </w:rPr>
        <w:t>5</w:t>
      </w:r>
      <w:r>
        <w:rPr>
          <w:rFonts w:hint="eastAsia" w:ascii="楷体_GB2312" w:hAnsi="楷体_GB2312" w:eastAsia="楷体_GB2312" w:cs="楷体_GB2312"/>
          <w:color w:val="000000"/>
          <w:sz w:val="32"/>
          <w:szCs w:val="32"/>
        </w:rPr>
        <w:t>所、小学</w:t>
      </w:r>
      <w:r>
        <w:rPr>
          <w:rFonts w:ascii="楷体_GB2312" w:hAnsi="楷体_GB2312" w:eastAsia="楷体_GB2312" w:cs="楷体_GB2312"/>
          <w:color w:val="000000"/>
          <w:sz w:val="32"/>
          <w:szCs w:val="32"/>
        </w:rPr>
        <w:t>10</w:t>
      </w:r>
      <w:r>
        <w:rPr>
          <w:rFonts w:hint="eastAsia" w:ascii="楷体_GB2312" w:hAnsi="楷体_GB2312" w:eastAsia="楷体_GB2312" w:cs="楷体_GB2312"/>
          <w:color w:val="000000"/>
          <w:sz w:val="32"/>
          <w:szCs w:val="32"/>
        </w:rPr>
        <w:t>所）</w:t>
      </w:r>
      <w:r>
        <w:rPr>
          <w:rFonts w:hint="eastAsia" w:ascii="仿宋_GB2312" w:hAnsi="仿宋_GB2312" w:eastAsia="仿宋_GB2312" w:cs="仿宋_GB2312"/>
          <w:color w:val="000000"/>
          <w:sz w:val="32"/>
          <w:szCs w:val="32"/>
        </w:rPr>
        <w:t>建设资源教室和无障碍设施；</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年支持</w:t>
      </w: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所学校</w:t>
      </w:r>
      <w:r>
        <w:rPr>
          <w:rFonts w:hint="eastAsia" w:ascii="楷体_GB2312" w:hAnsi="楷体_GB2312" w:eastAsia="楷体_GB2312" w:cs="楷体_GB2312"/>
          <w:color w:val="000000"/>
          <w:sz w:val="32"/>
          <w:szCs w:val="32"/>
        </w:rPr>
        <w:t>（初中</w:t>
      </w:r>
      <w:r>
        <w:rPr>
          <w:rFonts w:ascii="楷体_GB2312" w:hAnsi="楷体_GB2312" w:eastAsia="楷体_GB2312" w:cs="楷体_GB2312"/>
          <w:color w:val="000000"/>
          <w:sz w:val="32"/>
          <w:szCs w:val="32"/>
        </w:rPr>
        <w:t>5</w:t>
      </w:r>
      <w:r>
        <w:rPr>
          <w:rFonts w:hint="eastAsia" w:ascii="楷体_GB2312" w:hAnsi="楷体_GB2312" w:eastAsia="楷体_GB2312" w:cs="楷体_GB2312"/>
          <w:color w:val="000000"/>
          <w:sz w:val="32"/>
          <w:szCs w:val="32"/>
        </w:rPr>
        <w:t>所、小学</w:t>
      </w:r>
      <w:r>
        <w:rPr>
          <w:rFonts w:ascii="楷体_GB2312" w:hAnsi="楷体_GB2312" w:eastAsia="楷体_GB2312" w:cs="楷体_GB2312"/>
          <w:color w:val="000000"/>
          <w:sz w:val="32"/>
          <w:szCs w:val="32"/>
        </w:rPr>
        <w:t>8</w:t>
      </w:r>
      <w:r>
        <w:rPr>
          <w:rFonts w:hint="eastAsia" w:ascii="楷体_GB2312" w:hAnsi="楷体_GB2312" w:eastAsia="楷体_GB2312" w:cs="楷体_GB2312"/>
          <w:color w:val="000000"/>
          <w:sz w:val="32"/>
          <w:szCs w:val="32"/>
        </w:rPr>
        <w:t>所）</w:t>
      </w:r>
      <w:r>
        <w:rPr>
          <w:rFonts w:hint="eastAsia" w:ascii="仿宋_GB2312" w:hAnsi="仿宋_GB2312" w:eastAsia="仿宋_GB2312" w:cs="仿宋_GB2312"/>
          <w:color w:val="000000"/>
          <w:sz w:val="32"/>
          <w:szCs w:val="32"/>
        </w:rPr>
        <w:t>建设资源教室和无障碍设施；</w:t>
      </w:r>
      <w:r>
        <w:rPr>
          <w:rFonts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rPr>
        <w:t>年支持</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所学校</w:t>
      </w:r>
      <w:r>
        <w:rPr>
          <w:rFonts w:hint="eastAsia" w:ascii="楷体_GB2312" w:hAnsi="楷体_GB2312" w:eastAsia="楷体_GB2312" w:cs="楷体_GB2312"/>
          <w:color w:val="000000"/>
          <w:sz w:val="32"/>
          <w:szCs w:val="32"/>
        </w:rPr>
        <w:t>（初中</w:t>
      </w:r>
      <w:r>
        <w:rPr>
          <w:rFonts w:ascii="楷体_GB2312" w:hAnsi="楷体_GB2312" w:eastAsia="楷体_GB2312" w:cs="楷体_GB2312"/>
          <w:color w:val="000000"/>
          <w:sz w:val="32"/>
          <w:szCs w:val="32"/>
        </w:rPr>
        <w:t>5</w:t>
      </w:r>
      <w:r>
        <w:rPr>
          <w:rFonts w:hint="eastAsia" w:ascii="楷体_GB2312" w:hAnsi="楷体_GB2312" w:eastAsia="楷体_GB2312" w:cs="楷体_GB2312"/>
          <w:color w:val="000000"/>
          <w:sz w:val="32"/>
          <w:szCs w:val="32"/>
        </w:rPr>
        <w:t>所、小学</w:t>
      </w:r>
      <w:r>
        <w:rPr>
          <w:rFonts w:ascii="楷体_GB2312" w:hAnsi="楷体_GB2312" w:eastAsia="楷体_GB2312" w:cs="楷体_GB2312"/>
          <w:color w:val="000000"/>
          <w:sz w:val="32"/>
          <w:szCs w:val="32"/>
        </w:rPr>
        <w:t>7</w:t>
      </w:r>
      <w:r>
        <w:rPr>
          <w:rFonts w:hint="eastAsia" w:ascii="仿宋_GB2312" w:hAnsi="仿宋_GB2312" w:eastAsia="仿宋_GB2312" w:cs="仿宋_GB2312"/>
          <w:color w:val="000000"/>
          <w:sz w:val="32"/>
          <w:szCs w:val="32"/>
        </w:rPr>
        <w:t>所）建设资源教室和无障碍设施。</w:t>
      </w:r>
    </w:p>
    <w:p>
      <w:pPr>
        <w:pStyle w:val="2"/>
        <w:spacing w:line="58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责任单位：</w:t>
      </w:r>
      <w:r>
        <w:rPr>
          <w:rFonts w:hint="eastAsia" w:ascii="仿宋_GB2312" w:hAnsi="仿宋_GB2312" w:eastAsia="仿宋_GB2312" w:cs="仿宋_GB2312"/>
          <w:color w:val="000000"/>
          <w:sz w:val="32"/>
          <w:szCs w:val="32"/>
        </w:rPr>
        <w:t>教育局、财政局、残联，相关乡镇</w:t>
      </w:r>
    </w:p>
    <w:p>
      <w:pPr>
        <w:pStyle w:val="2"/>
        <w:spacing w:line="580" w:lineRule="exact"/>
        <w:ind w:firstLine="643" w:firstLineChars="200"/>
        <w:rPr>
          <w:rFonts w:ascii="仿宋_GB2312" w:hAnsi="仿宋_GB2312" w:eastAsia="仿宋_GB2312"/>
          <w:color w:val="000000"/>
          <w:sz w:val="32"/>
          <w:szCs w:val="32"/>
        </w:rPr>
      </w:pPr>
      <w:r>
        <w:rPr>
          <w:rFonts w:ascii="仿宋_GB2312" w:hAnsi="仿宋_GB2312" w:eastAsia="仿宋_GB2312" w:cs="仿宋_GB2312"/>
          <w:b/>
          <w:bCs/>
          <w:color w:val="000000"/>
          <w:sz w:val="32"/>
          <w:szCs w:val="32"/>
        </w:rPr>
        <w:t>11.</w:t>
      </w:r>
      <w:r>
        <w:rPr>
          <w:rFonts w:hint="eastAsia" w:ascii="仿宋_GB2312" w:hAnsi="仿宋_GB2312" w:eastAsia="仿宋_GB2312" w:cs="仿宋_GB2312"/>
          <w:b/>
          <w:bCs/>
          <w:color w:val="000000"/>
          <w:sz w:val="32"/>
          <w:szCs w:val="32"/>
        </w:rPr>
        <w:t>建设随班就读基地学校。</w:t>
      </w:r>
      <w:r>
        <w:rPr>
          <w:rFonts w:hint="eastAsia" w:ascii="仿宋_GB2312" w:hAnsi="仿宋_GB2312" w:eastAsia="仿宋_GB2312" w:cs="仿宋_GB2312"/>
          <w:color w:val="000000"/>
          <w:sz w:val="32"/>
          <w:szCs w:val="32"/>
        </w:rPr>
        <w:t>分期分批有序推进随班就读基地学校建设，每个乡镇小学、初中各建设</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所，</w:t>
      </w:r>
      <w:r>
        <w:rPr>
          <w:rFonts w:ascii="仿宋_GB2312" w:hAnsi="仿宋_GB2312" w:eastAsia="仿宋_GB2312" w:cs="仿宋_GB2312"/>
          <w:color w:val="000000"/>
          <w:sz w:val="32"/>
          <w:szCs w:val="32"/>
        </w:rPr>
        <w:t>2023</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年各推进</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个乡镇，</w:t>
      </w:r>
      <w:r>
        <w:rPr>
          <w:rFonts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rPr>
        <w:t>年推进</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个乡镇。</w:t>
      </w:r>
    </w:p>
    <w:p>
      <w:pPr>
        <w:pStyle w:val="2"/>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责任单位：教育局、财政局、残联，相关乡镇</w:t>
      </w:r>
    </w:p>
    <w:p>
      <w:pPr>
        <w:pStyle w:val="2"/>
        <w:spacing w:line="580" w:lineRule="exact"/>
        <w:ind w:firstLine="643" w:firstLineChars="200"/>
        <w:rPr>
          <w:rFonts w:ascii="仿宋_GB2312" w:hAnsi="仿宋_GB2312" w:eastAsia="仿宋_GB2312"/>
          <w:color w:val="000000"/>
          <w:spacing w:val="-6"/>
          <w:sz w:val="32"/>
          <w:szCs w:val="32"/>
        </w:rPr>
      </w:pPr>
      <w:r>
        <w:rPr>
          <w:rFonts w:ascii="仿宋_GB2312" w:hAnsi="仿宋_GB2312" w:eastAsia="仿宋_GB2312" w:cs="仿宋_GB2312"/>
          <w:b/>
          <w:bCs/>
          <w:color w:val="000000"/>
          <w:sz w:val="32"/>
          <w:szCs w:val="32"/>
        </w:rPr>
        <w:t>12.</w:t>
      </w:r>
      <w:r>
        <w:rPr>
          <w:rFonts w:hint="eastAsia" w:ascii="仿宋_GB2312" w:hAnsi="仿宋_GB2312" w:eastAsia="仿宋_GB2312" w:cs="仿宋_GB2312"/>
          <w:b/>
          <w:bCs/>
          <w:color w:val="000000"/>
          <w:sz w:val="32"/>
          <w:szCs w:val="32"/>
        </w:rPr>
        <w:t>深化融合教育试点工作。</w:t>
      </w:r>
      <w:r>
        <w:rPr>
          <w:rFonts w:hint="eastAsia" w:ascii="仿宋_GB2312" w:hAnsi="仿宋_GB2312" w:eastAsia="仿宋_GB2312" w:cs="仿宋_GB2312"/>
          <w:color w:val="000000"/>
          <w:sz w:val="32"/>
          <w:szCs w:val="32"/>
        </w:rPr>
        <w:t>支持安溪茶校进一步推进融合</w:t>
      </w:r>
      <w:r>
        <w:rPr>
          <w:rFonts w:hint="eastAsia" w:ascii="仿宋_GB2312" w:hAnsi="仿宋_GB2312" w:eastAsia="仿宋_GB2312" w:cs="仿宋_GB2312"/>
          <w:color w:val="000000"/>
          <w:spacing w:val="-6"/>
          <w:sz w:val="32"/>
          <w:szCs w:val="32"/>
        </w:rPr>
        <w:t>教育试点工作，开拓普特、康教、产教融合“</w:t>
      </w:r>
      <w:r>
        <w:rPr>
          <w:rFonts w:ascii="仿宋_GB2312" w:hAnsi="仿宋_GB2312" w:eastAsia="仿宋_GB2312" w:cs="仿宋_GB2312"/>
          <w:color w:val="000000"/>
          <w:spacing w:val="-6"/>
          <w:sz w:val="32"/>
          <w:szCs w:val="32"/>
        </w:rPr>
        <w:t>3+</w:t>
      </w:r>
      <w:r>
        <w:rPr>
          <w:rFonts w:hint="eastAsia" w:ascii="仿宋_GB2312" w:hAnsi="仿宋_GB2312" w:eastAsia="仿宋_GB2312" w:cs="仿宋_GB2312"/>
          <w:color w:val="000000"/>
          <w:spacing w:val="-6"/>
          <w:sz w:val="32"/>
          <w:szCs w:val="32"/>
        </w:rPr>
        <w:t>”职业特教新模式。</w:t>
      </w:r>
    </w:p>
    <w:p>
      <w:pPr>
        <w:pStyle w:val="2"/>
        <w:spacing w:line="580" w:lineRule="exact"/>
        <w:ind w:firstLine="619" w:firstLineChars="200"/>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b/>
          <w:bCs/>
          <w:color w:val="000000"/>
          <w:spacing w:val="-6"/>
          <w:sz w:val="32"/>
          <w:szCs w:val="32"/>
        </w:rPr>
        <w:t>责任单位：</w:t>
      </w:r>
      <w:r>
        <w:rPr>
          <w:rFonts w:hint="eastAsia" w:ascii="仿宋_GB2312" w:hAnsi="仿宋_GB2312" w:eastAsia="仿宋_GB2312" w:cs="仿宋_GB2312"/>
          <w:color w:val="000000"/>
          <w:spacing w:val="-6"/>
          <w:sz w:val="32"/>
          <w:szCs w:val="32"/>
        </w:rPr>
        <w:t>残联、教育局、财政局，相关乡镇</w:t>
      </w:r>
    </w:p>
    <w:p>
      <w:pPr>
        <w:pStyle w:val="7"/>
        <w:spacing w:beforeAutospacing="0" w:afterAutospacing="0" w:line="580" w:lineRule="exact"/>
        <w:ind w:firstLine="640" w:firstLineChars="200"/>
        <w:jc w:val="both"/>
        <w:rPr>
          <w:rFonts w:ascii="楷体_GB2312" w:hAnsi="楷体_GB2312" w:eastAsia="楷体_GB2312" w:cs="Times New Roman"/>
          <w:b w:val="0"/>
          <w:bCs w:val="0"/>
          <w:color w:val="000000"/>
          <w:sz w:val="32"/>
          <w:szCs w:val="32"/>
        </w:rPr>
      </w:pPr>
      <w:r>
        <w:rPr>
          <w:rFonts w:hint="eastAsia" w:ascii="楷体_GB2312" w:hAnsi="楷体_GB2312" w:eastAsia="楷体_GB2312" w:cs="楷体_GB2312"/>
          <w:b w:val="0"/>
          <w:bCs w:val="0"/>
          <w:color w:val="000000"/>
          <w:sz w:val="32"/>
          <w:szCs w:val="32"/>
        </w:rPr>
        <w:t>（四）普通高中教育方面</w:t>
      </w:r>
    </w:p>
    <w:p>
      <w:pPr>
        <w:pStyle w:val="2"/>
        <w:spacing w:line="580" w:lineRule="exact"/>
        <w:ind w:firstLine="643" w:firstLineChars="200"/>
        <w:rPr>
          <w:rFonts w:ascii="仿宋_GB2312" w:hAnsi="仿宋_GB2312" w:eastAsia="仿宋_GB2312"/>
          <w:color w:val="000000"/>
          <w:sz w:val="32"/>
          <w:szCs w:val="32"/>
        </w:rPr>
      </w:pPr>
      <w:r>
        <w:rPr>
          <w:rFonts w:ascii="仿宋_GB2312" w:hAnsi="仿宋_GB2312" w:eastAsia="仿宋_GB2312" w:cs="仿宋_GB2312"/>
          <w:b/>
          <w:bCs/>
          <w:color w:val="000000"/>
          <w:sz w:val="32"/>
          <w:szCs w:val="32"/>
        </w:rPr>
        <w:t>13.</w:t>
      </w:r>
      <w:r>
        <w:rPr>
          <w:rFonts w:hint="eastAsia" w:ascii="仿宋_GB2312" w:hAnsi="仿宋_GB2312" w:eastAsia="仿宋_GB2312" w:cs="仿宋_GB2312"/>
          <w:b/>
          <w:bCs/>
          <w:color w:val="000000"/>
          <w:sz w:val="32"/>
          <w:szCs w:val="32"/>
        </w:rPr>
        <w:t>实施高中学位扩容工程。</w:t>
      </w:r>
      <w:r>
        <w:rPr>
          <w:rFonts w:hint="eastAsia" w:ascii="仿宋_GB2312" w:hAnsi="仿宋_GB2312" w:eastAsia="仿宋_GB2312" w:cs="仿宋_GB2312"/>
          <w:color w:val="000000"/>
          <w:sz w:val="32"/>
          <w:szCs w:val="32"/>
        </w:rPr>
        <w:t>安溪一中城东校区高中部</w:t>
      </w:r>
      <w:r>
        <w:rPr>
          <w:rFonts w:ascii="仿宋_GB2312" w:hAnsi="仿宋_GB2312" w:eastAsia="仿宋_GB2312" w:cs="仿宋_GB2312"/>
          <w:color w:val="000000"/>
          <w:sz w:val="32"/>
          <w:szCs w:val="32"/>
        </w:rPr>
        <w:t>2023</w:t>
      </w:r>
      <w:r>
        <w:rPr>
          <w:rFonts w:hint="eastAsia" w:ascii="仿宋_GB2312" w:hAnsi="仿宋_GB2312" w:eastAsia="仿宋_GB2312" w:cs="仿宋_GB2312"/>
          <w:color w:val="000000"/>
          <w:sz w:val="32"/>
          <w:szCs w:val="32"/>
        </w:rPr>
        <w:t>年秋季投入使用并启动招生；</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年前完成安溪八中“校中村”拆迁，启动扩建工程；实施金火完中、龙门中学、培文中学、俊民中学、蓝溪中学扩建工程，进一步挖掘高中学校办学潜力，至</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年新增高中学位</w:t>
      </w:r>
      <w:r>
        <w:rPr>
          <w:rFonts w:ascii="仿宋_GB2312" w:hAnsi="仿宋_GB2312" w:eastAsia="仿宋_GB2312" w:cs="仿宋_GB2312"/>
          <w:color w:val="000000"/>
          <w:sz w:val="32"/>
          <w:szCs w:val="32"/>
        </w:rPr>
        <w:t>6000</w:t>
      </w:r>
      <w:r>
        <w:rPr>
          <w:rFonts w:hint="eastAsia" w:ascii="仿宋_GB2312" w:hAnsi="仿宋_GB2312" w:eastAsia="仿宋_GB2312" w:cs="仿宋_GB2312"/>
          <w:color w:val="000000"/>
          <w:sz w:val="32"/>
          <w:szCs w:val="32"/>
        </w:rPr>
        <w:t>个以上。</w:t>
      </w:r>
    </w:p>
    <w:p>
      <w:pPr>
        <w:pStyle w:val="2"/>
        <w:spacing w:line="58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责任单位：</w:t>
      </w:r>
      <w:r>
        <w:rPr>
          <w:rFonts w:hint="eastAsia" w:ascii="仿宋_GB2312" w:hAnsi="仿宋_GB2312" w:eastAsia="仿宋_GB2312" w:cs="仿宋_GB2312"/>
          <w:color w:val="000000"/>
          <w:sz w:val="32"/>
          <w:szCs w:val="32"/>
        </w:rPr>
        <w:t>教育局、财政局、发改局、资源局、住建局，相关乡镇</w:t>
      </w:r>
    </w:p>
    <w:p>
      <w:pPr>
        <w:pStyle w:val="2"/>
        <w:spacing w:line="580" w:lineRule="exact"/>
        <w:ind w:firstLine="643" w:firstLineChars="200"/>
        <w:rPr>
          <w:rFonts w:ascii="仿宋_GB2312" w:hAnsi="仿宋_GB2312" w:eastAsia="仿宋_GB2312"/>
          <w:color w:val="000000"/>
          <w:sz w:val="32"/>
          <w:szCs w:val="32"/>
        </w:rPr>
      </w:pPr>
      <w:r>
        <w:rPr>
          <w:rFonts w:ascii="仿宋_GB2312" w:hAnsi="仿宋_GB2312" w:eastAsia="仿宋_GB2312" w:cs="仿宋_GB2312"/>
          <w:b/>
          <w:bCs/>
          <w:color w:val="000000"/>
          <w:sz w:val="32"/>
          <w:szCs w:val="32"/>
        </w:rPr>
        <w:t>14.</w:t>
      </w:r>
      <w:r>
        <w:rPr>
          <w:rFonts w:hint="eastAsia" w:ascii="仿宋_GB2312" w:hAnsi="仿宋_GB2312" w:eastAsia="仿宋_GB2312" w:cs="仿宋_GB2312"/>
          <w:b/>
          <w:bCs/>
          <w:color w:val="000000"/>
          <w:sz w:val="32"/>
          <w:szCs w:val="32"/>
        </w:rPr>
        <w:t>着力改善完中校办学条件。</w:t>
      </w:r>
      <w:r>
        <w:rPr>
          <w:rFonts w:hint="eastAsia" w:ascii="仿宋_GB2312" w:hAnsi="仿宋_GB2312" w:eastAsia="仿宋_GB2312" w:cs="仿宋_GB2312"/>
          <w:color w:val="000000"/>
          <w:sz w:val="32"/>
          <w:szCs w:val="32"/>
        </w:rPr>
        <w:t>支持并推进高中校宿舍、食堂、实验室、计算机教室等的改造和建设，配齐配足所需设备设施，满足学校教育教学基本要求。启动安溪一中城东校区、安溪八中、蓝溪中学、梧桐中学、崇德中学等</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所学校宿舍楼，安溪八中食堂、沼涛中学体育馆、崇德中学新大门、龙门中学运动场、培文中学艺术楼和金火完中行政楼、艺术楼等的建设，实施安溪一中食堂改造扩建。</w:t>
      </w:r>
    </w:p>
    <w:p>
      <w:pPr>
        <w:pStyle w:val="2"/>
        <w:spacing w:line="58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责任单位：</w:t>
      </w:r>
      <w:r>
        <w:rPr>
          <w:rFonts w:hint="eastAsia" w:ascii="仿宋_GB2312" w:hAnsi="仿宋_GB2312" w:eastAsia="仿宋_GB2312" w:cs="仿宋_GB2312"/>
          <w:color w:val="000000"/>
          <w:sz w:val="32"/>
          <w:szCs w:val="32"/>
        </w:rPr>
        <w:t>教育局、发改局、财政局、资源局、住建局，相关乡镇</w:t>
      </w:r>
    </w:p>
    <w:p>
      <w:pPr>
        <w:pStyle w:val="2"/>
        <w:spacing w:line="580" w:lineRule="exact"/>
        <w:ind w:firstLine="643" w:firstLineChars="200"/>
        <w:rPr>
          <w:rFonts w:ascii="仿宋_GB2312" w:hAnsi="仿宋_GB2312" w:eastAsia="仿宋_GB2312"/>
          <w:color w:val="000000"/>
          <w:sz w:val="32"/>
          <w:szCs w:val="32"/>
        </w:rPr>
      </w:pPr>
      <w:r>
        <w:rPr>
          <w:rFonts w:ascii="仿宋_GB2312" w:hAnsi="仿宋_GB2312" w:eastAsia="仿宋_GB2312" w:cs="仿宋_GB2312"/>
          <w:b/>
          <w:bCs/>
          <w:color w:val="000000"/>
          <w:sz w:val="32"/>
          <w:szCs w:val="32"/>
        </w:rPr>
        <w:t>15.</w:t>
      </w:r>
      <w:r>
        <w:rPr>
          <w:rFonts w:hint="eastAsia" w:ascii="仿宋_GB2312" w:hAnsi="仿宋_GB2312" w:eastAsia="仿宋_GB2312" w:cs="仿宋_GB2312"/>
          <w:b/>
          <w:bCs/>
          <w:color w:val="000000"/>
          <w:sz w:val="32"/>
          <w:szCs w:val="32"/>
        </w:rPr>
        <w:t>持续提升教育质量。</w:t>
      </w:r>
      <w:r>
        <w:rPr>
          <w:rFonts w:hint="eastAsia" w:ascii="仿宋_GB2312" w:hAnsi="仿宋_GB2312" w:eastAsia="仿宋_GB2312" w:cs="仿宋_GB2312"/>
          <w:color w:val="000000"/>
          <w:sz w:val="32"/>
          <w:szCs w:val="32"/>
        </w:rPr>
        <w:t>支持安溪一中与县外同层次高中组建校际联盟，铭选中学、恒兴中学组建联盟校，其他高中组成二级达标高中、三级达标高中校际联盟，推动联盟校加强校际交流、联考联评、联合教研等活动，推进资源共享，加速教师专业化发展，不断提升高中教育教学质量。</w:t>
      </w:r>
    </w:p>
    <w:p>
      <w:pPr>
        <w:pStyle w:val="2"/>
        <w:spacing w:line="58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责任单位：</w:t>
      </w:r>
      <w:r>
        <w:rPr>
          <w:rFonts w:hint="eastAsia" w:ascii="仿宋_GB2312" w:hAnsi="仿宋_GB2312" w:eastAsia="仿宋_GB2312" w:cs="仿宋_GB2312"/>
          <w:color w:val="000000"/>
          <w:sz w:val="32"/>
          <w:szCs w:val="32"/>
        </w:rPr>
        <w:t>教育局、财政局、人社局</w:t>
      </w:r>
    </w:p>
    <w:p>
      <w:pPr>
        <w:pStyle w:val="2"/>
        <w:spacing w:line="580" w:lineRule="exact"/>
        <w:ind w:firstLine="643" w:firstLineChars="200"/>
        <w:rPr>
          <w:rFonts w:ascii="仿宋_GB2312" w:hAnsi="仿宋" w:eastAsia="仿宋_GB2312"/>
          <w:color w:val="000000"/>
          <w:sz w:val="32"/>
          <w:szCs w:val="32"/>
        </w:rPr>
      </w:pPr>
      <w:r>
        <w:rPr>
          <w:rFonts w:ascii="仿宋_GB2312" w:hAnsi="仿宋_GB2312" w:eastAsia="仿宋_GB2312" w:cs="仿宋_GB2312"/>
          <w:b/>
          <w:bCs/>
          <w:color w:val="000000"/>
          <w:sz w:val="32"/>
          <w:szCs w:val="32"/>
        </w:rPr>
        <w:t>16.</w:t>
      </w:r>
      <w:r>
        <w:rPr>
          <w:rFonts w:hint="eastAsia" w:ascii="仿宋_GB2312" w:hAnsi="仿宋_GB2312" w:eastAsia="仿宋_GB2312" w:cs="仿宋_GB2312"/>
          <w:b/>
          <w:bCs/>
          <w:color w:val="000000"/>
          <w:sz w:val="32"/>
          <w:szCs w:val="32"/>
        </w:rPr>
        <w:t>推动高中特色发展。</w:t>
      </w:r>
      <w:r>
        <w:rPr>
          <w:rFonts w:hint="eastAsia" w:ascii="仿宋_GB2312" w:hAnsi="仿宋" w:eastAsia="仿宋_GB2312" w:cs="仿宋_GB2312"/>
          <w:color w:val="000000"/>
          <w:sz w:val="32"/>
          <w:szCs w:val="32"/>
        </w:rPr>
        <w:t>指导各高中校进一步明确办学定位，推动特色化多样化发展，支持</w:t>
      </w:r>
      <w:r>
        <w:rPr>
          <w:rFonts w:hint="eastAsia" w:ascii="仿宋_GB2312" w:hAnsi="仿宋_GB2312" w:eastAsia="仿宋_GB2312" w:cs="仿宋_GB2312"/>
          <w:color w:val="000000"/>
          <w:sz w:val="32"/>
          <w:szCs w:val="32"/>
        </w:rPr>
        <w:t>铭选中学、恒兴中学、安溪六中、培文中学、龙门中学等</w:t>
      </w:r>
      <w:r>
        <w:rPr>
          <w:rFonts w:hint="eastAsia" w:ascii="仿宋_GB2312" w:hAnsi="仿宋" w:eastAsia="仿宋_GB2312" w:cs="仿宋_GB2312"/>
          <w:color w:val="000000"/>
          <w:sz w:val="32"/>
          <w:szCs w:val="32"/>
        </w:rPr>
        <w:t>学校因校制宜，培育信息技术、体育、音乐、美术等特色项目，支持沼涛中学做强做优美术特色。</w:t>
      </w:r>
    </w:p>
    <w:p>
      <w:pPr>
        <w:pStyle w:val="2"/>
        <w:spacing w:line="58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责任单位：</w:t>
      </w:r>
      <w:r>
        <w:rPr>
          <w:rFonts w:hint="eastAsia" w:ascii="仿宋_GB2312" w:hAnsi="仿宋_GB2312" w:eastAsia="仿宋_GB2312" w:cs="仿宋_GB2312"/>
          <w:color w:val="000000"/>
          <w:sz w:val="32"/>
          <w:szCs w:val="32"/>
        </w:rPr>
        <w:t>县教育局、文体旅局，教师进修学校</w:t>
      </w:r>
    </w:p>
    <w:p>
      <w:pPr>
        <w:pStyle w:val="2"/>
        <w:spacing w:line="580" w:lineRule="exact"/>
        <w:ind w:firstLine="640" w:firstLineChars="200"/>
        <w:rPr>
          <w:rFonts w:ascii="楷体_GB2312" w:hAnsi="楷体_GB2312" w:eastAsia="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（五）师资队伍建设方面</w:t>
      </w:r>
    </w:p>
    <w:p>
      <w:pPr>
        <w:spacing w:line="580" w:lineRule="exact"/>
        <w:ind w:firstLine="643" w:firstLineChars="200"/>
        <w:rPr>
          <w:rFonts w:ascii="仿宋_GB2312" w:hAnsi="仿宋" w:eastAsia="仿宋_GB2312" w:cs="Times New Roman"/>
          <w:color w:val="000000"/>
          <w:sz w:val="32"/>
          <w:szCs w:val="32"/>
        </w:rPr>
      </w:pPr>
      <w:r>
        <w:rPr>
          <w:rFonts w:ascii="仿宋_GB2312" w:hAnsi="仿宋_GB2312" w:eastAsia="仿宋_GB2312" w:cs="仿宋_GB2312"/>
          <w:b/>
          <w:bCs/>
          <w:color w:val="000000"/>
          <w:sz w:val="32"/>
          <w:szCs w:val="32"/>
        </w:rPr>
        <w:t>17.</w:t>
      </w:r>
      <w:r>
        <w:rPr>
          <w:rFonts w:hint="eastAsia" w:ascii="仿宋_GB2312" w:hAnsi="仿宋_GB2312" w:eastAsia="仿宋_GB2312" w:cs="仿宋_GB2312"/>
          <w:b/>
          <w:bCs/>
          <w:color w:val="000000"/>
          <w:sz w:val="32"/>
          <w:szCs w:val="32"/>
        </w:rPr>
        <w:t>支持创建示范性教师进修学校。</w:t>
      </w:r>
      <w:r>
        <w:rPr>
          <w:rFonts w:hint="eastAsia" w:ascii="仿宋_GB2312" w:hAnsi="仿宋" w:eastAsia="仿宋_GB2312" w:cs="仿宋_GB2312"/>
          <w:color w:val="000000"/>
          <w:sz w:val="32"/>
          <w:szCs w:val="32"/>
        </w:rPr>
        <w:t>推进校舍迁建工程，确保</w:t>
      </w:r>
      <w:r>
        <w:rPr>
          <w:rFonts w:ascii="仿宋_GB2312" w:hAnsi="仿宋" w:eastAsia="仿宋_GB2312" w:cs="仿宋_GB2312"/>
          <w:color w:val="000000"/>
          <w:sz w:val="32"/>
          <w:szCs w:val="32"/>
        </w:rPr>
        <w:t>2023</w:t>
      </w:r>
      <w:r>
        <w:rPr>
          <w:rFonts w:hint="eastAsia" w:ascii="仿宋_GB2312" w:hAnsi="仿宋" w:eastAsia="仿宋_GB2312" w:cs="仿宋_GB2312"/>
          <w:color w:val="000000"/>
          <w:sz w:val="32"/>
          <w:szCs w:val="32"/>
        </w:rPr>
        <w:t>年秋季完成新址建设。至</w:t>
      </w:r>
      <w:r>
        <w:rPr>
          <w:rFonts w:ascii="仿宋_GB2312" w:hAnsi="仿宋" w:eastAsia="仿宋_GB2312" w:cs="仿宋_GB2312"/>
          <w:color w:val="000000"/>
          <w:sz w:val="32"/>
          <w:szCs w:val="32"/>
        </w:rPr>
        <w:t>2025</w:t>
      </w:r>
      <w:r>
        <w:rPr>
          <w:rFonts w:hint="eastAsia" w:ascii="仿宋_GB2312" w:hAnsi="仿宋" w:eastAsia="仿宋_GB2312" w:cs="仿宋_GB2312"/>
          <w:color w:val="000000"/>
          <w:sz w:val="32"/>
          <w:szCs w:val="32"/>
        </w:rPr>
        <w:t>年分批配齐配强</w:t>
      </w:r>
      <w:r>
        <w:rPr>
          <w:rFonts w:ascii="仿宋_GB2312" w:hAnsi="仿宋" w:eastAsia="仿宋_GB2312" w:cs="仿宋_GB2312"/>
          <w:color w:val="000000"/>
          <w:sz w:val="32"/>
          <w:szCs w:val="32"/>
        </w:rPr>
        <w:t>80</w:t>
      </w:r>
      <w:r>
        <w:rPr>
          <w:rFonts w:hint="eastAsia" w:ascii="仿宋_GB2312" w:hAnsi="仿宋" w:eastAsia="仿宋_GB2312" w:cs="仿宋_GB2312"/>
          <w:color w:val="000000"/>
          <w:sz w:val="32"/>
          <w:szCs w:val="32"/>
        </w:rPr>
        <w:t>名教研员。进一步加大经费投入和人才政策支持，不断创新研训机制，推动县教师进修学校驶入高速发展的快车道，</w:t>
      </w:r>
      <w:r>
        <w:rPr>
          <w:rFonts w:ascii="仿宋_GB2312" w:hAnsi="仿宋" w:eastAsia="仿宋_GB2312" w:cs="仿宋_GB2312"/>
          <w:color w:val="000000"/>
          <w:sz w:val="32"/>
          <w:szCs w:val="32"/>
        </w:rPr>
        <w:t>2025</w:t>
      </w:r>
      <w:r>
        <w:rPr>
          <w:rFonts w:hint="eastAsia" w:ascii="仿宋_GB2312" w:hAnsi="仿宋" w:eastAsia="仿宋_GB2312" w:cs="仿宋_GB2312"/>
          <w:color w:val="000000"/>
          <w:sz w:val="32"/>
          <w:szCs w:val="32"/>
        </w:rPr>
        <w:t>年建成省示范校。</w:t>
      </w:r>
    </w:p>
    <w:p>
      <w:pPr>
        <w:pStyle w:val="2"/>
        <w:spacing w:line="58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责任单位：</w:t>
      </w:r>
      <w:r>
        <w:rPr>
          <w:rFonts w:hint="eastAsia" w:ascii="仿宋_GB2312" w:hAnsi="仿宋_GB2312" w:eastAsia="仿宋_GB2312" w:cs="仿宋_GB2312"/>
          <w:color w:val="000000"/>
          <w:sz w:val="32"/>
          <w:szCs w:val="32"/>
        </w:rPr>
        <w:t>教育局、人才办、财政局，教师进修学校</w:t>
      </w:r>
    </w:p>
    <w:p>
      <w:pPr>
        <w:pStyle w:val="2"/>
        <w:spacing w:line="580" w:lineRule="exact"/>
        <w:ind w:firstLine="643" w:firstLineChars="200"/>
        <w:rPr>
          <w:rFonts w:ascii="仿宋_GB2312" w:hAnsi="仿宋_GB2312" w:eastAsia="仿宋_GB2312"/>
          <w:color w:val="000000"/>
          <w:sz w:val="32"/>
          <w:szCs w:val="32"/>
        </w:rPr>
      </w:pPr>
      <w:r>
        <w:rPr>
          <w:rFonts w:ascii="仿宋_GB2312" w:hAnsi="仿宋_GB2312" w:eastAsia="仿宋_GB2312" w:cs="仿宋_GB2312"/>
          <w:b/>
          <w:bCs/>
          <w:color w:val="000000"/>
          <w:sz w:val="32"/>
          <w:szCs w:val="32"/>
        </w:rPr>
        <w:t>18.</w:t>
      </w:r>
      <w:r>
        <w:rPr>
          <w:rFonts w:hint="eastAsia" w:ascii="仿宋_GB2312" w:hAnsi="仿宋_GB2312" w:eastAsia="仿宋_GB2312" w:cs="仿宋_GB2312"/>
          <w:b/>
          <w:bCs/>
          <w:color w:val="000000"/>
          <w:sz w:val="32"/>
          <w:szCs w:val="32"/>
        </w:rPr>
        <w:t>实施“安溪好先生·十百千万”培育工程。</w:t>
      </w:r>
      <w:r>
        <w:rPr>
          <w:rFonts w:hint="eastAsia" w:ascii="仿宋_GB2312" w:hAnsi="仿宋_GB2312" w:eastAsia="仿宋_GB2312" w:cs="仿宋_GB2312"/>
          <w:color w:val="000000"/>
          <w:sz w:val="32"/>
          <w:szCs w:val="32"/>
        </w:rPr>
        <w:t>“十四五”期间投入</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亿元，每年组织数十名校长到国内名校脱产跟岗，成立百个名师工作室，培养千名骨干教师，每年万名教师全员轮训。从</w:t>
      </w:r>
      <w:r>
        <w:rPr>
          <w:rFonts w:ascii="仿宋_GB2312" w:hAnsi="仿宋_GB2312" w:eastAsia="仿宋_GB2312" w:cs="仿宋_GB2312"/>
          <w:color w:val="000000"/>
          <w:sz w:val="32"/>
          <w:szCs w:val="32"/>
        </w:rPr>
        <w:t>2023</w:t>
      </w:r>
      <w:r>
        <w:rPr>
          <w:rFonts w:hint="eastAsia" w:ascii="仿宋_GB2312" w:hAnsi="仿宋_GB2312" w:eastAsia="仿宋_GB2312" w:cs="仿宋_GB2312"/>
          <w:color w:val="000000"/>
          <w:sz w:val="32"/>
          <w:szCs w:val="32"/>
        </w:rPr>
        <w:t>年起，每</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年举办一次教师教学技能大赛，并建立优胜者职称直聘激励机制，努力提升师德师能水平，培育一批教育领军人才。继续实施教育系统优秀人才奖励措施，激发人才活力，充分发挥名优教师引领示范和辐射带动作用。</w:t>
      </w:r>
    </w:p>
    <w:p>
      <w:pPr>
        <w:pStyle w:val="2"/>
        <w:spacing w:line="58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责任单位：</w:t>
      </w:r>
      <w:r>
        <w:rPr>
          <w:rFonts w:hint="eastAsia" w:ascii="仿宋_GB2312" w:hAnsi="仿宋_GB2312" w:eastAsia="仿宋_GB2312" w:cs="仿宋_GB2312"/>
          <w:color w:val="000000"/>
          <w:sz w:val="32"/>
          <w:szCs w:val="32"/>
        </w:rPr>
        <w:t>教育局、人社局、人才办，教师进修学校</w:t>
      </w:r>
    </w:p>
    <w:p>
      <w:pPr>
        <w:spacing w:line="580" w:lineRule="exact"/>
        <w:ind w:firstLine="643" w:firstLineChars="200"/>
        <w:rPr>
          <w:rFonts w:ascii="仿宋_GB2312" w:hAnsi="仿宋_GB2312" w:eastAsia="仿宋_GB2312" w:cs="Times New Roman"/>
          <w:color w:val="000000"/>
          <w:sz w:val="32"/>
          <w:szCs w:val="32"/>
        </w:rPr>
      </w:pPr>
      <w:r>
        <w:rPr>
          <w:rFonts w:ascii="仿宋_GB2312" w:hAnsi="仿宋_GB2312" w:eastAsia="仿宋_GB2312" w:cs="仿宋_GB2312"/>
          <w:b/>
          <w:bCs/>
          <w:color w:val="000000"/>
          <w:sz w:val="32"/>
          <w:szCs w:val="32"/>
        </w:rPr>
        <w:t>19.</w:t>
      </w:r>
      <w:r>
        <w:rPr>
          <w:rFonts w:hint="eastAsia" w:ascii="仿宋_GB2312" w:hAnsi="仿宋_GB2312" w:eastAsia="仿宋_GB2312" w:cs="仿宋_GB2312"/>
          <w:b/>
          <w:bCs/>
          <w:color w:val="000000"/>
          <w:sz w:val="32"/>
          <w:szCs w:val="32"/>
        </w:rPr>
        <w:t>吸引优秀人才从教。</w:t>
      </w:r>
      <w:r>
        <w:rPr>
          <w:rFonts w:hint="eastAsia" w:ascii="仿宋_GB2312" w:hAnsi="仿宋_GB2312" w:eastAsia="仿宋_GB2312" w:cs="仿宋_GB2312"/>
          <w:color w:val="000000"/>
          <w:sz w:val="32"/>
          <w:szCs w:val="32"/>
        </w:rPr>
        <w:t>至</w:t>
      </w:r>
      <w:r>
        <w:rPr>
          <w:rFonts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rPr>
        <w:t>年招聘补充新教师</w:t>
      </w:r>
      <w:r>
        <w:rPr>
          <w:rFonts w:ascii="仿宋_GB2312" w:hAnsi="仿宋_GB2312" w:eastAsia="仿宋_GB2312" w:cs="仿宋_GB2312"/>
          <w:color w:val="000000"/>
          <w:sz w:val="32"/>
          <w:szCs w:val="32"/>
        </w:rPr>
        <w:t>1200</w:t>
      </w:r>
      <w:r>
        <w:rPr>
          <w:rFonts w:hint="eastAsia" w:ascii="仿宋_GB2312" w:hAnsi="仿宋_GB2312" w:eastAsia="仿宋_GB2312" w:cs="仿宋_GB2312"/>
          <w:color w:val="000000"/>
          <w:sz w:val="32"/>
          <w:szCs w:val="32"/>
        </w:rPr>
        <w:t>名以上，其中研究生、本科应届优秀师范生</w:t>
      </w:r>
      <w:r>
        <w:rPr>
          <w:rFonts w:ascii="仿宋_GB2312" w:hAnsi="仿宋_GB2312" w:eastAsia="仿宋_GB2312" w:cs="仿宋_GB2312"/>
          <w:color w:val="000000"/>
          <w:sz w:val="32"/>
          <w:szCs w:val="32"/>
        </w:rPr>
        <w:t>300</w:t>
      </w:r>
      <w:r>
        <w:rPr>
          <w:rFonts w:hint="eastAsia" w:ascii="仿宋_GB2312" w:hAnsi="仿宋_GB2312" w:eastAsia="仿宋_GB2312" w:cs="仿宋_GB2312"/>
          <w:color w:val="000000"/>
          <w:sz w:val="32"/>
          <w:szCs w:val="32"/>
        </w:rPr>
        <w:t>名以上，每年依托福建师大、闽南师大等院校定向委培公费师范生</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名，重点补充高中学段和紧缺学科师资。完善待遇保障，大力吸引优秀师范毕业生、高水平大学非师范专业硕士研究生、部属和省属公费师范生到我县任教。出台《安溪县“基础教育人才引进行动”工作方案》。</w:t>
      </w:r>
    </w:p>
    <w:p>
      <w:pPr>
        <w:pStyle w:val="2"/>
        <w:spacing w:line="58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责任单位：</w:t>
      </w:r>
      <w:r>
        <w:rPr>
          <w:rFonts w:hint="eastAsia" w:ascii="仿宋_GB2312" w:hAnsi="仿宋_GB2312" w:eastAsia="仿宋_GB2312" w:cs="仿宋_GB2312"/>
          <w:color w:val="000000"/>
          <w:sz w:val="32"/>
          <w:szCs w:val="32"/>
        </w:rPr>
        <w:t>人才办、编办、财政局、人社局、教育局，教师进修学校</w:t>
      </w:r>
    </w:p>
    <w:p>
      <w:pPr>
        <w:spacing w:line="580" w:lineRule="exact"/>
        <w:ind w:firstLine="643" w:firstLineChars="200"/>
        <w:rPr>
          <w:rFonts w:ascii="仿宋_GB2312" w:hAnsi="仿宋_GB2312" w:eastAsia="仿宋_GB2312" w:cs="Times New Roman"/>
          <w:color w:val="000000"/>
          <w:sz w:val="32"/>
          <w:szCs w:val="32"/>
        </w:rPr>
      </w:pPr>
      <w:r>
        <w:rPr>
          <w:rFonts w:ascii="仿宋_GB2312" w:hAnsi="仿宋_GB2312" w:eastAsia="仿宋_GB2312" w:cs="仿宋_GB2312"/>
          <w:b/>
          <w:bCs/>
          <w:color w:val="000000"/>
          <w:sz w:val="32"/>
          <w:szCs w:val="32"/>
        </w:rPr>
        <w:t>20.</w:t>
      </w:r>
      <w:r>
        <w:rPr>
          <w:rFonts w:hint="eastAsia" w:ascii="仿宋_GB2312" w:hAnsi="仿宋_GB2312" w:eastAsia="仿宋_GB2312" w:cs="仿宋_GB2312"/>
          <w:b/>
          <w:bCs/>
          <w:color w:val="000000"/>
          <w:sz w:val="32"/>
          <w:szCs w:val="32"/>
        </w:rPr>
        <w:t>稳妥推进职称改革。</w:t>
      </w:r>
      <w:r>
        <w:rPr>
          <w:rFonts w:hint="eastAsia" w:ascii="仿宋_GB2312" w:hAnsi="仿宋_GB2312" w:eastAsia="仿宋_GB2312" w:cs="仿宋_GB2312"/>
          <w:color w:val="000000"/>
          <w:sz w:val="32"/>
          <w:szCs w:val="32"/>
        </w:rPr>
        <w:t>深入推进“县管校聘”管理改革，完善学校自主用人制度，针对中小学教职工聘后管理弱化、“一聘定终身”等问题，建立健全能进能出、能上能下的灵活用人机制，树立重师德、重能力、重业绩、重贡献的良好用人导向。修订完善《安溪县中小学教师专业技术职务竞聘量化考评指导意见》，完善小学幼儿园教师申报高级教师职务任职资格量化考评办法，出台《关于一步加强中小学教师专业技术职务聘后管理的实施意见》，进一步激发教师队伍和学校办学活力。</w:t>
      </w:r>
    </w:p>
    <w:p>
      <w:pPr>
        <w:pStyle w:val="2"/>
        <w:spacing w:line="58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责任单位：</w:t>
      </w:r>
      <w:r>
        <w:rPr>
          <w:rFonts w:hint="eastAsia" w:ascii="仿宋_GB2312" w:hAnsi="仿宋_GB2312" w:eastAsia="仿宋_GB2312" w:cs="仿宋_GB2312"/>
          <w:color w:val="000000"/>
          <w:sz w:val="32"/>
          <w:szCs w:val="32"/>
        </w:rPr>
        <w:t>教育局、职改办</w:t>
      </w:r>
    </w:p>
    <w:p>
      <w:pPr>
        <w:spacing w:line="580" w:lineRule="exact"/>
        <w:ind w:firstLine="643" w:firstLineChars="200"/>
        <w:rPr>
          <w:rFonts w:ascii="仿宋_GB2312" w:hAnsi="仿宋_GB2312" w:eastAsia="仿宋_GB2312" w:cs="Times New Roman"/>
          <w:color w:val="000000"/>
          <w:sz w:val="32"/>
          <w:szCs w:val="32"/>
        </w:rPr>
      </w:pPr>
      <w:r>
        <w:rPr>
          <w:rFonts w:ascii="仿宋_GB2312" w:hAnsi="仿宋_GB2312" w:eastAsia="仿宋_GB2312" w:cs="仿宋_GB2312"/>
          <w:b/>
          <w:bCs/>
          <w:color w:val="000000"/>
          <w:sz w:val="32"/>
          <w:szCs w:val="32"/>
        </w:rPr>
        <w:t>21.</w:t>
      </w:r>
      <w:r>
        <w:rPr>
          <w:rFonts w:hint="eastAsia" w:ascii="仿宋_GB2312" w:hAnsi="仿宋_GB2312" w:eastAsia="仿宋_GB2312" w:cs="仿宋_GB2312"/>
          <w:b/>
          <w:bCs/>
          <w:color w:val="000000"/>
          <w:sz w:val="32"/>
          <w:szCs w:val="32"/>
        </w:rPr>
        <w:t>探索实施校长职级制。</w:t>
      </w:r>
      <w:r>
        <w:rPr>
          <w:rFonts w:hint="eastAsia" w:ascii="仿宋_GB2312" w:hAnsi="仿宋_GB2312" w:eastAsia="仿宋_GB2312" w:cs="仿宋_GB2312"/>
          <w:color w:val="000000"/>
          <w:sz w:val="32"/>
          <w:szCs w:val="32"/>
        </w:rPr>
        <w:t>根据校长办学水平和办学业绩，探索在全县学校开展校长（含副校级）职级评定工作，逐步建立符合教育特点和校长成长规律的培养、选拔、使用、评价和管理机制，同时制定职级工资实施办法，建立与校长职级制相配套的奖励性绩效工资，对不同职级的校长给予相应的职级待遇，形成“职级能上能下，岗位能进能出，待遇能高能低”的竞争机制。同时，实施范围延伸到学校中层干部及基层小学正职校长。</w:t>
      </w:r>
    </w:p>
    <w:p>
      <w:pPr>
        <w:pStyle w:val="2"/>
        <w:spacing w:line="58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责任单位：</w:t>
      </w:r>
      <w:r>
        <w:rPr>
          <w:rFonts w:hint="eastAsia" w:ascii="仿宋_GB2312" w:hAnsi="仿宋_GB2312" w:eastAsia="仿宋_GB2312" w:cs="仿宋_GB2312"/>
          <w:color w:val="000000"/>
          <w:sz w:val="32"/>
          <w:szCs w:val="32"/>
        </w:rPr>
        <w:t>组织部、编办，教育局、财政局、人社局</w:t>
      </w:r>
    </w:p>
    <w:p>
      <w:pPr>
        <w:pStyle w:val="7"/>
        <w:spacing w:beforeAutospacing="0" w:afterAutospacing="0" w:line="580" w:lineRule="exact"/>
        <w:ind w:firstLine="640" w:firstLineChars="200"/>
        <w:jc w:val="both"/>
        <w:rPr>
          <w:rFonts w:ascii="楷体_GB2312" w:hAnsi="楷体_GB2312" w:eastAsia="楷体_GB2312" w:cs="Times New Roman"/>
          <w:b w:val="0"/>
          <w:bCs w:val="0"/>
          <w:color w:val="000000"/>
          <w:sz w:val="32"/>
          <w:szCs w:val="32"/>
        </w:rPr>
      </w:pPr>
      <w:r>
        <w:rPr>
          <w:rFonts w:hint="eastAsia" w:ascii="楷体_GB2312" w:hAnsi="楷体_GB2312" w:eastAsia="楷体_GB2312" w:cs="楷体_GB2312"/>
          <w:b w:val="0"/>
          <w:bCs w:val="0"/>
          <w:color w:val="000000"/>
          <w:sz w:val="32"/>
          <w:szCs w:val="32"/>
        </w:rPr>
        <w:t>（六）经费投入保障方面</w:t>
      </w:r>
    </w:p>
    <w:p>
      <w:pPr>
        <w:spacing w:line="580" w:lineRule="exact"/>
        <w:ind w:firstLine="643" w:firstLineChars="200"/>
        <w:rPr>
          <w:rFonts w:ascii="仿宋_GB2312" w:hAnsi="仿宋_GB2312" w:eastAsia="仿宋_GB2312" w:cs="Times New Roman"/>
          <w:color w:val="000000"/>
          <w:sz w:val="32"/>
          <w:szCs w:val="32"/>
        </w:rPr>
      </w:pPr>
      <w:r>
        <w:rPr>
          <w:rFonts w:ascii="仿宋_GB2312" w:hAnsi="仿宋_GB2312" w:eastAsia="仿宋_GB2312" w:cs="仿宋_GB2312"/>
          <w:b/>
          <w:bCs/>
          <w:color w:val="000000"/>
          <w:sz w:val="32"/>
          <w:szCs w:val="32"/>
        </w:rPr>
        <w:t>22.</w:t>
      </w:r>
      <w:r>
        <w:rPr>
          <w:rFonts w:hint="eastAsia" w:ascii="仿宋_GB2312" w:hAnsi="仿宋_GB2312" w:eastAsia="仿宋_GB2312" w:cs="仿宋_GB2312"/>
          <w:b/>
          <w:bCs/>
          <w:color w:val="000000"/>
          <w:sz w:val="32"/>
          <w:szCs w:val="32"/>
        </w:rPr>
        <w:t>持续保障财政投入。</w:t>
      </w:r>
      <w:r>
        <w:rPr>
          <w:rFonts w:hint="eastAsia" w:ascii="仿宋_GB2312" w:hAnsi="仿宋_GB2312" w:eastAsia="仿宋_GB2312" w:cs="仿宋_GB2312"/>
          <w:color w:val="000000"/>
          <w:sz w:val="32"/>
          <w:szCs w:val="32"/>
        </w:rPr>
        <w:t>健全教育财政投入持续稳定增长的长效机制，落实教育经费投入两个‘只增不减’，持续落实编外合同制教师工资、教师继续教育经费、优秀教育人才奖励、校园安全保障经费、教科研经费、中小学幼儿园课后服务公用经费等专项经费。建立健全教师工资收入随公务员工资收入动态调整机制，确保义务教育阶段教师平均工资收入水平不低于公务员平均工资收入水平。</w:t>
      </w:r>
    </w:p>
    <w:p>
      <w:pPr>
        <w:pStyle w:val="2"/>
        <w:spacing w:line="58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责任单位：</w:t>
      </w:r>
      <w:r>
        <w:rPr>
          <w:rFonts w:hint="eastAsia" w:ascii="仿宋_GB2312" w:hAnsi="仿宋_GB2312" w:eastAsia="仿宋_GB2312" w:cs="仿宋_GB2312"/>
          <w:color w:val="000000"/>
          <w:sz w:val="32"/>
          <w:szCs w:val="32"/>
        </w:rPr>
        <w:t>教育局、财政局、人社局</w:t>
      </w:r>
    </w:p>
    <w:p>
      <w:pPr>
        <w:spacing w:line="580" w:lineRule="exact"/>
        <w:ind w:firstLine="643" w:firstLineChars="200"/>
        <w:rPr>
          <w:rFonts w:ascii="仿宋_GB2312" w:hAnsi="仿宋_GB2312" w:eastAsia="仿宋_GB2312" w:cs="Times New Roman"/>
          <w:color w:val="000000"/>
          <w:sz w:val="32"/>
          <w:szCs w:val="32"/>
        </w:rPr>
      </w:pPr>
      <w:r>
        <w:rPr>
          <w:rFonts w:ascii="仿宋_GB2312" w:hAnsi="仿宋_GB2312" w:eastAsia="仿宋_GB2312" w:cs="仿宋_GB2312"/>
          <w:b/>
          <w:bCs/>
          <w:color w:val="000000"/>
          <w:sz w:val="32"/>
          <w:szCs w:val="32"/>
        </w:rPr>
        <w:t>23.</w:t>
      </w:r>
      <w:r>
        <w:rPr>
          <w:rFonts w:hint="eastAsia" w:ascii="仿宋_GB2312" w:hAnsi="仿宋_GB2312" w:eastAsia="仿宋_GB2312" w:cs="仿宋_GB2312"/>
          <w:b/>
          <w:bCs/>
          <w:color w:val="000000"/>
          <w:sz w:val="32"/>
          <w:szCs w:val="32"/>
        </w:rPr>
        <w:t>统筹社会力量办学。</w:t>
      </w:r>
      <w:r>
        <w:rPr>
          <w:rFonts w:hint="eastAsia" w:ascii="仿宋_GB2312" w:hAnsi="仿宋_GB2312" w:eastAsia="仿宋_GB2312" w:cs="仿宋_GB2312"/>
          <w:color w:val="000000"/>
          <w:sz w:val="32"/>
          <w:szCs w:val="32"/>
        </w:rPr>
        <w:t>拓宽教育经费筹措渠道，依托“教育大基金”平台，积极引导社会力量捐资办学，统筹用于城区教育扩容建设及农村薄弱学校提升项目。</w:t>
      </w:r>
    </w:p>
    <w:p>
      <w:pPr>
        <w:pStyle w:val="2"/>
        <w:spacing w:line="58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责任单位：</w:t>
      </w:r>
      <w:r>
        <w:rPr>
          <w:rFonts w:hint="eastAsia" w:ascii="仿宋_GB2312" w:hAnsi="仿宋_GB2312" w:eastAsia="仿宋_GB2312" w:cs="仿宋_GB2312"/>
          <w:color w:val="000000"/>
          <w:sz w:val="32"/>
          <w:szCs w:val="32"/>
        </w:rPr>
        <w:t>教育局、县慈善总会，各乡镇</w:t>
      </w:r>
    </w:p>
    <w:p>
      <w:pPr>
        <w:spacing w:line="580" w:lineRule="exact"/>
        <w:ind w:firstLine="643" w:firstLineChars="200"/>
        <w:rPr>
          <w:rFonts w:ascii="仿宋_GB2312" w:hAnsi="仿宋_GB2312" w:eastAsia="仿宋_GB2312" w:cs="Times New Roman"/>
          <w:color w:val="000000"/>
          <w:spacing w:val="-6"/>
          <w:sz w:val="32"/>
          <w:szCs w:val="32"/>
        </w:rPr>
      </w:pPr>
      <w:r>
        <w:rPr>
          <w:rFonts w:ascii="仿宋_GB2312" w:hAnsi="仿宋_GB2312" w:eastAsia="仿宋_GB2312" w:cs="仿宋_GB2312"/>
          <w:b/>
          <w:bCs/>
          <w:color w:val="000000"/>
          <w:sz w:val="32"/>
          <w:szCs w:val="32"/>
        </w:rPr>
        <w:t>24.</w:t>
      </w:r>
      <w:r>
        <w:rPr>
          <w:rFonts w:hint="eastAsia" w:ascii="仿宋_GB2312" w:hAnsi="仿宋_GB2312" w:eastAsia="仿宋_GB2312" w:cs="仿宋_GB2312"/>
          <w:b/>
          <w:bCs/>
          <w:color w:val="000000"/>
          <w:sz w:val="32"/>
          <w:szCs w:val="32"/>
        </w:rPr>
        <w:t>用活用好教育基金。</w:t>
      </w:r>
      <w:r>
        <w:rPr>
          <w:rFonts w:hint="eastAsia" w:ascii="仿宋_GB2312" w:hAnsi="仿宋_GB2312" w:eastAsia="仿宋_GB2312" w:cs="仿宋_GB2312"/>
          <w:color w:val="000000"/>
          <w:sz w:val="32"/>
          <w:szCs w:val="32"/>
        </w:rPr>
        <w:t>打通资金筹措渠道，积极引导各中小学校成立教育促进会（基金会），广泛吸纳社会资源，发展壮大教育基金。依托国企国资运作平台，创新基金运作模式，加强教育基金资本运作，确保基金安全、保值增值。加大奖教助学力</w:t>
      </w:r>
      <w:r>
        <w:rPr>
          <w:rFonts w:hint="eastAsia" w:ascii="仿宋_GB2312" w:hAnsi="仿宋_GB2312" w:eastAsia="仿宋_GB2312" w:cs="仿宋_GB2312"/>
          <w:color w:val="000000"/>
          <w:spacing w:val="-6"/>
          <w:sz w:val="32"/>
          <w:szCs w:val="32"/>
        </w:rPr>
        <w:t>度，促进全社会形成尊师重教风尚，助推全县教育事业高质量发展。</w:t>
      </w:r>
    </w:p>
    <w:p>
      <w:pPr>
        <w:pStyle w:val="2"/>
        <w:spacing w:line="58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责任单位：</w:t>
      </w:r>
      <w:r>
        <w:rPr>
          <w:rFonts w:hint="eastAsia" w:ascii="仿宋_GB2312" w:hAnsi="仿宋_GB2312" w:eastAsia="仿宋_GB2312" w:cs="仿宋_GB2312"/>
          <w:color w:val="000000"/>
          <w:sz w:val="32"/>
          <w:szCs w:val="32"/>
        </w:rPr>
        <w:t>教育局、财政局，各乡镇</w:t>
      </w:r>
    </w:p>
    <w:p>
      <w:pPr>
        <w:pStyle w:val="7"/>
        <w:spacing w:beforeAutospacing="0" w:afterAutospacing="0" w:line="580" w:lineRule="exact"/>
        <w:ind w:firstLine="640" w:firstLineChars="200"/>
        <w:jc w:val="both"/>
        <w:rPr>
          <w:rFonts w:ascii="楷体_GB2312" w:hAnsi="楷体_GB2312" w:eastAsia="楷体_GB2312" w:cs="Times New Roman"/>
          <w:b w:val="0"/>
          <w:bCs w:val="0"/>
          <w:color w:val="000000"/>
          <w:sz w:val="32"/>
          <w:szCs w:val="32"/>
        </w:rPr>
      </w:pPr>
      <w:r>
        <w:rPr>
          <w:rFonts w:hint="eastAsia" w:ascii="楷体_GB2312" w:hAnsi="楷体_GB2312" w:eastAsia="楷体_GB2312" w:cs="楷体_GB2312"/>
          <w:b w:val="0"/>
          <w:bCs w:val="0"/>
          <w:color w:val="000000"/>
          <w:sz w:val="32"/>
          <w:szCs w:val="32"/>
        </w:rPr>
        <w:t>（七）教育信息化建设方面</w:t>
      </w:r>
    </w:p>
    <w:p>
      <w:pPr>
        <w:pStyle w:val="2"/>
        <w:spacing w:line="580" w:lineRule="exact"/>
        <w:ind w:firstLine="643" w:firstLineChars="200"/>
        <w:rPr>
          <w:rFonts w:ascii="仿宋_GB2312" w:hAnsi="仿宋_GB2312" w:eastAsia="仿宋_GB2312"/>
          <w:color w:val="000000"/>
          <w:sz w:val="32"/>
          <w:szCs w:val="32"/>
        </w:rPr>
      </w:pPr>
      <w:r>
        <w:rPr>
          <w:rFonts w:ascii="仿宋_GB2312" w:hAnsi="仿宋_GB2312" w:eastAsia="仿宋_GB2312" w:cs="仿宋_GB2312"/>
          <w:b/>
          <w:bCs/>
          <w:color w:val="000000"/>
          <w:sz w:val="32"/>
          <w:szCs w:val="32"/>
        </w:rPr>
        <w:t>25.</w:t>
      </w:r>
      <w:r>
        <w:rPr>
          <w:rFonts w:hint="eastAsia" w:ascii="仿宋_GB2312" w:hAnsi="仿宋_GB2312" w:eastAsia="仿宋_GB2312" w:cs="仿宋_GB2312"/>
          <w:b/>
          <w:bCs/>
          <w:color w:val="000000"/>
          <w:sz w:val="32"/>
          <w:szCs w:val="32"/>
        </w:rPr>
        <w:t>推进“</w:t>
      </w:r>
      <w:r>
        <w:rPr>
          <w:rFonts w:ascii="仿宋_GB2312" w:hAnsi="仿宋_GB2312" w:eastAsia="仿宋_GB2312" w:cs="仿宋_GB2312"/>
          <w:b/>
          <w:bCs/>
          <w:color w:val="000000"/>
          <w:sz w:val="32"/>
          <w:szCs w:val="32"/>
        </w:rPr>
        <w:t>5G+</w:t>
      </w:r>
      <w:r>
        <w:rPr>
          <w:rFonts w:hint="eastAsia" w:ascii="仿宋_GB2312" w:hAnsi="仿宋_GB2312" w:eastAsia="仿宋_GB2312" w:cs="仿宋_GB2312"/>
          <w:b/>
          <w:bCs/>
          <w:color w:val="000000"/>
          <w:sz w:val="32"/>
          <w:szCs w:val="32"/>
        </w:rPr>
        <w:t>专递课堂”建设。</w:t>
      </w:r>
      <w:r>
        <w:rPr>
          <w:rFonts w:hint="eastAsia" w:ascii="仿宋_GB2312" w:hAnsi="仿宋_GB2312" w:eastAsia="仿宋_GB2312" w:cs="仿宋_GB2312"/>
          <w:color w:val="000000"/>
          <w:sz w:val="32"/>
          <w:szCs w:val="32"/>
        </w:rPr>
        <w:t>在总结现有市级帮扶校、县级帮扶校试点工作的的基础上，进一步完善联动、激励等机制，有序推进“</w:t>
      </w:r>
      <w:r>
        <w:rPr>
          <w:rFonts w:ascii="仿宋_GB2312" w:hAnsi="仿宋_GB2312" w:eastAsia="仿宋_GB2312" w:cs="仿宋_GB2312"/>
          <w:color w:val="000000"/>
          <w:sz w:val="32"/>
          <w:szCs w:val="32"/>
        </w:rPr>
        <w:t>5G+</w:t>
      </w:r>
      <w:r>
        <w:rPr>
          <w:rFonts w:hint="eastAsia" w:ascii="仿宋_GB2312" w:hAnsi="仿宋_GB2312" w:eastAsia="仿宋_GB2312" w:cs="仿宋_GB2312"/>
          <w:color w:val="000000"/>
          <w:sz w:val="32"/>
          <w:szCs w:val="32"/>
        </w:rPr>
        <w:t>专递课堂”的建设与应用；至</w:t>
      </w:r>
      <w:r>
        <w:rPr>
          <w:rFonts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rPr>
        <w:t>年，推动</w:t>
      </w:r>
      <w:r>
        <w:rPr>
          <w:rFonts w:ascii="仿宋_GB2312" w:hAnsi="仿宋_GB2312" w:eastAsia="仿宋_GB2312" w:cs="仿宋_GB2312"/>
          <w:color w:val="000000"/>
          <w:sz w:val="32"/>
          <w:szCs w:val="32"/>
        </w:rPr>
        <w:t>38</w:t>
      </w:r>
      <w:r>
        <w:rPr>
          <w:rFonts w:hint="eastAsia" w:ascii="仿宋_GB2312" w:hAnsi="仿宋_GB2312" w:eastAsia="仿宋_GB2312" w:cs="仿宋_GB2312"/>
          <w:color w:val="000000"/>
          <w:sz w:val="32"/>
          <w:szCs w:val="32"/>
        </w:rPr>
        <w:t>所城区优质学校</w:t>
      </w:r>
      <w:r>
        <w:rPr>
          <w:rFonts w:hint="eastAsia" w:ascii="楷体_GB2312" w:hAnsi="楷体_GB2312" w:eastAsia="楷体_GB2312" w:cs="楷体_GB2312"/>
          <w:color w:val="000000"/>
          <w:sz w:val="32"/>
          <w:szCs w:val="32"/>
        </w:rPr>
        <w:t>（初中</w:t>
      </w:r>
      <w:r>
        <w:rPr>
          <w:rFonts w:ascii="楷体_GB2312" w:hAnsi="楷体_GB2312" w:eastAsia="楷体_GB2312" w:cs="楷体_GB2312"/>
          <w:color w:val="000000"/>
          <w:sz w:val="32"/>
          <w:szCs w:val="32"/>
        </w:rPr>
        <w:t>13</w:t>
      </w:r>
      <w:r>
        <w:rPr>
          <w:rFonts w:hint="eastAsia" w:ascii="楷体_GB2312" w:hAnsi="楷体_GB2312" w:eastAsia="楷体_GB2312" w:cs="楷体_GB2312"/>
          <w:color w:val="000000"/>
          <w:sz w:val="32"/>
          <w:szCs w:val="32"/>
        </w:rPr>
        <w:t>所、小学</w:t>
      </w:r>
      <w:r>
        <w:rPr>
          <w:rFonts w:ascii="楷体_GB2312" w:hAnsi="楷体_GB2312" w:eastAsia="楷体_GB2312" w:cs="楷体_GB2312"/>
          <w:color w:val="000000"/>
          <w:sz w:val="32"/>
          <w:szCs w:val="32"/>
        </w:rPr>
        <w:t>25</w:t>
      </w:r>
      <w:r>
        <w:rPr>
          <w:rFonts w:hint="eastAsia" w:ascii="楷体_GB2312" w:hAnsi="楷体_GB2312" w:eastAsia="楷体_GB2312" w:cs="楷体_GB2312"/>
          <w:color w:val="000000"/>
          <w:sz w:val="32"/>
          <w:szCs w:val="32"/>
        </w:rPr>
        <w:t>所）</w:t>
      </w:r>
      <w:r>
        <w:rPr>
          <w:rFonts w:hint="eastAsia" w:ascii="仿宋_GB2312" w:hAnsi="仿宋_GB2312" w:eastAsia="仿宋_GB2312" w:cs="仿宋_GB2312"/>
          <w:color w:val="000000"/>
          <w:sz w:val="32"/>
          <w:szCs w:val="32"/>
        </w:rPr>
        <w:t>与</w:t>
      </w:r>
      <w:r>
        <w:rPr>
          <w:rFonts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rPr>
        <w:t>所乡镇学校结对</w:t>
      </w:r>
      <w:r>
        <w:rPr>
          <w:rFonts w:ascii="仿宋_GB2312" w:hAnsi="仿宋_GB2312" w:eastAsia="仿宋_GB2312" w:cs="仿宋_GB2312"/>
          <w:color w:val="000000"/>
          <w:sz w:val="32"/>
          <w:szCs w:val="32"/>
        </w:rPr>
        <w:t>5G+</w:t>
      </w:r>
      <w:r>
        <w:rPr>
          <w:rFonts w:hint="eastAsia" w:ascii="仿宋_GB2312" w:hAnsi="仿宋_GB2312" w:eastAsia="仿宋_GB2312" w:cs="仿宋_GB2312"/>
          <w:color w:val="000000"/>
          <w:sz w:val="32"/>
          <w:szCs w:val="32"/>
        </w:rPr>
        <w:t>教育发展共同体，建设</w:t>
      </w:r>
      <w:r>
        <w:rPr>
          <w:rFonts w:ascii="仿宋_GB2312" w:hAnsi="仿宋_GB2312" w:eastAsia="仿宋_GB2312" w:cs="仿宋_GB2312"/>
          <w:color w:val="000000"/>
          <w:sz w:val="32"/>
          <w:szCs w:val="32"/>
        </w:rPr>
        <w:t>300</w:t>
      </w:r>
      <w:r>
        <w:rPr>
          <w:rFonts w:hint="eastAsia" w:ascii="仿宋_GB2312" w:hAnsi="仿宋_GB2312" w:eastAsia="仿宋_GB2312" w:cs="仿宋_GB2312"/>
          <w:color w:val="000000"/>
          <w:sz w:val="32"/>
          <w:szCs w:val="32"/>
        </w:rPr>
        <w:t>间教室，加快推进义务教育优质均衡发展。</w:t>
      </w:r>
    </w:p>
    <w:p>
      <w:pPr>
        <w:pStyle w:val="2"/>
        <w:spacing w:line="58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责任单位：</w:t>
      </w:r>
      <w:r>
        <w:rPr>
          <w:rFonts w:hint="eastAsia" w:ascii="仿宋_GB2312" w:hAnsi="仿宋_GB2312" w:eastAsia="仿宋_GB2312" w:cs="仿宋_GB2312"/>
          <w:color w:val="000000"/>
          <w:sz w:val="32"/>
          <w:szCs w:val="32"/>
        </w:rPr>
        <w:t>教育局、财政局、人社局、教师进修学校</w:t>
      </w:r>
    </w:p>
    <w:p>
      <w:pPr>
        <w:pStyle w:val="2"/>
        <w:spacing w:line="580" w:lineRule="exact"/>
        <w:ind w:firstLine="643" w:firstLineChars="200"/>
        <w:rPr>
          <w:rFonts w:ascii="仿宋_GB2312" w:hAnsi="仿宋_GB2312" w:eastAsia="仿宋_GB2312"/>
          <w:color w:val="000000"/>
          <w:sz w:val="32"/>
          <w:szCs w:val="32"/>
        </w:rPr>
      </w:pPr>
      <w:r>
        <w:rPr>
          <w:rFonts w:ascii="仿宋_GB2312" w:hAnsi="仿宋_GB2312" w:eastAsia="仿宋_GB2312" w:cs="仿宋_GB2312"/>
          <w:b/>
          <w:bCs/>
          <w:color w:val="000000"/>
          <w:sz w:val="32"/>
          <w:szCs w:val="32"/>
        </w:rPr>
        <w:t>26.</w:t>
      </w:r>
      <w:r>
        <w:rPr>
          <w:rFonts w:hint="eastAsia" w:ascii="仿宋_GB2312" w:hAnsi="仿宋_GB2312" w:eastAsia="仿宋_GB2312" w:cs="仿宋_GB2312"/>
          <w:b/>
          <w:bCs/>
          <w:color w:val="000000"/>
          <w:sz w:val="32"/>
          <w:szCs w:val="32"/>
        </w:rPr>
        <w:t>着力提升信息化水平。</w:t>
      </w:r>
      <w:r>
        <w:rPr>
          <w:rFonts w:hint="eastAsia" w:ascii="仿宋_GB2312" w:hAnsi="仿宋_GB2312" w:eastAsia="仿宋_GB2312" w:cs="仿宋_GB2312"/>
          <w:color w:val="000000"/>
          <w:sz w:val="32"/>
          <w:szCs w:val="32"/>
        </w:rPr>
        <w:t>深入推进教育信息化</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行动，</w:t>
      </w:r>
      <w:r>
        <w:rPr>
          <w:rFonts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rPr>
        <w:t>年前投入</w:t>
      </w:r>
      <w:r>
        <w:rPr>
          <w:rFonts w:ascii="仿宋_GB2312" w:hAnsi="仿宋_GB2312" w:eastAsia="仿宋_GB2312" w:cs="仿宋_GB2312"/>
          <w:color w:val="000000"/>
          <w:sz w:val="32"/>
          <w:szCs w:val="32"/>
        </w:rPr>
        <w:t>5000</w:t>
      </w:r>
      <w:r>
        <w:rPr>
          <w:rFonts w:hint="eastAsia" w:ascii="仿宋_GB2312" w:hAnsi="仿宋_GB2312" w:eastAsia="仿宋_GB2312" w:cs="仿宋_GB2312"/>
          <w:color w:val="000000"/>
          <w:sz w:val="32"/>
          <w:szCs w:val="32"/>
        </w:rPr>
        <w:t>万元，完成新一轮覆盖各学段的计算机教室更新换代，并有序推进多媒体教学一体机更新换代；支持实验小学、沼涛实小、第十小学、第十一小学等一批学校开展人工智能、动漫创客等活动，打造智慧教育新生态。</w:t>
      </w:r>
    </w:p>
    <w:p>
      <w:pPr>
        <w:pStyle w:val="2"/>
        <w:spacing w:line="58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责任单位：</w:t>
      </w:r>
      <w:r>
        <w:rPr>
          <w:rFonts w:hint="eastAsia" w:ascii="仿宋_GB2312" w:hAnsi="仿宋_GB2312" w:eastAsia="仿宋_GB2312" w:cs="仿宋_GB2312"/>
          <w:color w:val="000000"/>
          <w:sz w:val="32"/>
          <w:szCs w:val="32"/>
        </w:rPr>
        <w:t>教育局、财政局、教师进修学校</w:t>
      </w:r>
    </w:p>
    <w:p>
      <w:pPr>
        <w:pStyle w:val="3"/>
        <w:spacing w:line="580" w:lineRule="exact"/>
        <w:ind w:firstLine="640"/>
        <w:rPr>
          <w:rFonts w:cs="Times New Roman"/>
          <w:color w:val="000000"/>
        </w:rPr>
      </w:pPr>
      <w:r>
        <w:rPr>
          <w:rFonts w:hint="eastAsia" w:ascii="黑体" w:hAnsi="黑体" w:eastAsia="黑体" w:cs="黑体"/>
          <w:color w:val="000000"/>
        </w:rPr>
        <w:t>四、保障措施</w:t>
      </w:r>
    </w:p>
    <w:p>
      <w:pPr>
        <w:pStyle w:val="3"/>
        <w:spacing w:line="580" w:lineRule="exact"/>
        <w:ind w:firstLine="643"/>
        <w:rPr>
          <w:rFonts w:hAnsi="仿宋_GB2312" w:eastAsia="仿宋_GB2312" w:cs="Times New Roman"/>
          <w:color w:val="000000"/>
        </w:rPr>
      </w:pPr>
      <w:r>
        <w:rPr>
          <w:rFonts w:hint="eastAsia" w:ascii="楷体_GB2312" w:hAnsi="楷体_GB2312" w:eastAsia="楷体_GB2312" w:cs="楷体_GB2312"/>
          <w:b w:val="0"/>
          <w:bCs w:val="0"/>
          <w:color w:val="000000"/>
        </w:rPr>
        <w:t>（一）加强组织领导。</w:t>
      </w:r>
      <w:r>
        <w:rPr>
          <w:rFonts w:hint="eastAsia" w:hAnsi="仿宋_GB2312" w:eastAsia="仿宋_GB2312"/>
          <w:color w:val="000000"/>
        </w:rPr>
        <w:t>健全</w:t>
      </w:r>
      <w:r>
        <w:rPr>
          <w:rFonts w:hint="eastAsia" w:hAnsi="仿宋_GB2312" w:eastAsia="仿宋_GB2312"/>
          <w:color w:val="000000"/>
          <w:lang w:eastAsia="zh-CN"/>
        </w:rPr>
        <w:t>县</w:t>
      </w:r>
      <w:r>
        <w:rPr>
          <w:rFonts w:hint="eastAsia" w:hAnsi="仿宋_GB2312" w:eastAsia="仿宋_GB2312"/>
          <w:color w:val="000000"/>
        </w:rPr>
        <w:t>委统一领导</w:t>
      </w:r>
      <w:r>
        <w:rPr>
          <w:rFonts w:hint="eastAsia" w:hAnsi="仿宋_GB2312" w:eastAsia="仿宋_GB2312"/>
          <w:color w:val="000000"/>
          <w:lang w:eastAsia="zh-CN"/>
        </w:rPr>
        <w:t>，</w:t>
      </w:r>
      <w:r>
        <w:rPr>
          <w:rFonts w:hint="eastAsia" w:hAnsi="仿宋_GB2312" w:eastAsia="仿宋_GB2312"/>
          <w:color w:val="000000"/>
        </w:rPr>
        <w:t>乡镇、部门各负其责的教育领导体制。各乡镇、各部门要切实增强责任感、使命感和紧迫感，加强协同配合，及时解决教育改革发展的重大问题和群众关心的热点问题，推动全县教育事业高质量发展。</w:t>
      </w:r>
    </w:p>
    <w:p>
      <w:pPr>
        <w:pStyle w:val="3"/>
        <w:spacing w:line="580" w:lineRule="exact"/>
        <w:ind w:firstLine="643"/>
        <w:rPr>
          <w:rFonts w:hAnsi="仿宋_GB2312" w:eastAsia="仿宋_GB2312" w:cs="Times New Roman"/>
          <w:color w:val="000000"/>
        </w:rPr>
      </w:pPr>
      <w:r>
        <w:rPr>
          <w:rFonts w:hint="eastAsia" w:ascii="楷体_GB2312" w:hAnsi="楷体_GB2312" w:eastAsia="楷体_GB2312" w:cs="楷体_GB2312"/>
          <w:b w:val="0"/>
          <w:bCs w:val="0"/>
          <w:color w:val="000000"/>
        </w:rPr>
        <w:t>（二）强化落实机制。</w:t>
      </w:r>
      <w:r>
        <w:rPr>
          <w:rFonts w:hint="eastAsia" w:hAnsi="仿宋_GB2312" w:eastAsia="仿宋_GB2312"/>
          <w:color w:val="000000"/>
        </w:rPr>
        <w:t>各乡镇、各部门要按照行动计划，明确年度目标，研究制定年度工作落实计划，协调联动、履职尽责，强化工作落实，细化目标任务，明确实施路径、责任单位及完成时限，强化督导考核，确保各项举措落地见效。</w:t>
      </w:r>
    </w:p>
    <w:p>
      <w:pPr>
        <w:pStyle w:val="3"/>
        <w:spacing w:line="580" w:lineRule="exact"/>
        <w:ind w:firstLine="643"/>
        <w:rPr>
          <w:rFonts w:hAnsi="仿宋_GB2312" w:eastAsia="仿宋_GB2312" w:cs="Times New Roman"/>
          <w:color w:val="000000"/>
        </w:rPr>
      </w:pPr>
      <w:r>
        <w:rPr>
          <w:rFonts w:hint="eastAsia" w:ascii="楷体_GB2312" w:hAnsi="楷体_GB2312" w:eastAsia="楷体_GB2312" w:cs="楷体_GB2312"/>
          <w:b w:val="0"/>
          <w:bCs w:val="0"/>
          <w:color w:val="000000"/>
        </w:rPr>
        <w:t>（三）健全经费保障。</w:t>
      </w:r>
      <w:r>
        <w:rPr>
          <w:rFonts w:hint="eastAsia" w:hAnsi="仿宋_GB2312" w:eastAsia="仿宋_GB2312"/>
          <w:color w:val="000000"/>
        </w:rPr>
        <w:t>加大教育经费投入，完善以财政拨款为主、多渠道筹资为辅的教育经费保障机制，引导社会资金投入教育领域，加大力度吸引社会捐赠。充分发挥教育基金会的平台优势，破解资金渠道难题。不断优化经费支出结构，切实推动教育经费使用重心从规模扩张向质量提升转移。同时，要建立健全教育经费审计制度，确保专款专用。</w:t>
      </w:r>
    </w:p>
    <w:p>
      <w:pPr>
        <w:pStyle w:val="3"/>
        <w:spacing w:line="580" w:lineRule="exact"/>
        <w:ind w:firstLine="643"/>
        <w:rPr>
          <w:rFonts w:hAnsi="仿宋_GB2312" w:eastAsia="仿宋_GB2312" w:cs="Times New Roman"/>
          <w:color w:val="000000"/>
        </w:rPr>
      </w:pPr>
      <w:r>
        <w:rPr>
          <w:rFonts w:hint="eastAsia" w:ascii="楷体_GB2312" w:hAnsi="楷体_GB2312" w:eastAsia="楷体_GB2312" w:cs="楷体_GB2312"/>
          <w:b w:val="0"/>
          <w:bCs w:val="0"/>
          <w:color w:val="000000"/>
        </w:rPr>
        <w:t>（四）完善教育治理。</w:t>
      </w:r>
      <w:r>
        <w:rPr>
          <w:rFonts w:hint="eastAsia" w:hAnsi="仿宋_GB2312" w:eastAsia="仿宋_GB2312"/>
          <w:color w:val="000000"/>
        </w:rPr>
        <w:t>坚持依法治校，完善现代学校制度建设，健全党组织会议、校长办公会议等议事决策制度，强化党组织对学校重大事项、重要问题的政治把关，引导和支持各类学校依法依规自主办学。完善社会多元参与教育决策、监测、评价机制，形成开放多元的教育共治格局。完善教育领域综合执法，督促校外培训机构分类登记，从严审批机构，全面规范培训行为，建立健全行之有效的校外机构监管机制和规范有序的长效发展机制。</w:t>
      </w:r>
    </w:p>
    <w:p>
      <w:pPr>
        <w:pStyle w:val="3"/>
        <w:spacing w:line="580" w:lineRule="exact"/>
        <w:ind w:firstLine="643"/>
        <w:rPr>
          <w:rFonts w:hAnsi="仿宋_GB2312" w:eastAsia="仿宋_GB2312" w:cs="Times New Roman"/>
          <w:color w:val="000000"/>
        </w:rPr>
      </w:pPr>
      <w:r>
        <w:rPr>
          <w:rFonts w:hint="eastAsia" w:ascii="楷体_GB2312" w:hAnsi="楷体_GB2312" w:eastAsia="楷体_GB2312" w:cs="楷体_GB2312"/>
          <w:b w:val="0"/>
          <w:bCs w:val="0"/>
          <w:color w:val="000000"/>
        </w:rPr>
        <w:t>（五）保障校园安全。</w:t>
      </w:r>
      <w:r>
        <w:rPr>
          <w:rFonts w:hint="eastAsia" w:hAnsi="仿宋_GB2312" w:eastAsia="仿宋_GB2312"/>
          <w:color w:val="000000"/>
        </w:rPr>
        <w:t>完善校园安全治理机制，深入推进平安校园建设，建立教育主管部门、学校、乡镇（村、社区）、家庭四级校园安全防护网，形成学校安全管理制度健全、安防力量配备到位、物防技防设施先进、师生安全素养较高、保障机制不断完善的防控格局。强化校园安全教育培训。中小学校开设公共安全教育课、心理健康教育课，创新学生安全教育模式。</w:t>
      </w:r>
    </w:p>
    <w:p>
      <w:pPr>
        <w:spacing w:line="58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附件：全县基础教育学校项目建设规划表</w:t>
      </w:r>
    </w:p>
    <w:p>
      <w:pPr>
        <w:pStyle w:val="2"/>
        <w:spacing w:line="540" w:lineRule="exact"/>
        <w:ind w:firstLine="643" w:firstLineChars="200"/>
        <w:rPr>
          <w:rFonts w:ascii="仿宋_GB2312" w:hAnsi="仿宋_GB2312" w:eastAsia="仿宋_GB2312"/>
          <w:b/>
          <w:bCs/>
          <w:color w:val="000000"/>
          <w:sz w:val="32"/>
          <w:szCs w:val="32"/>
        </w:rPr>
      </w:pPr>
    </w:p>
    <w:p>
      <w:pPr>
        <w:pStyle w:val="2"/>
        <w:spacing w:line="540" w:lineRule="exact"/>
        <w:ind w:firstLine="643" w:firstLineChars="200"/>
        <w:rPr>
          <w:rFonts w:ascii="仿宋_GB2312" w:hAnsi="仿宋_GB2312" w:eastAsia="仿宋_GB2312"/>
          <w:b/>
          <w:bCs/>
          <w:color w:val="000000"/>
          <w:sz w:val="32"/>
          <w:szCs w:val="32"/>
        </w:rPr>
      </w:pPr>
    </w:p>
    <w:p>
      <w:pPr>
        <w:pStyle w:val="2"/>
        <w:spacing w:line="540" w:lineRule="exact"/>
        <w:ind w:firstLine="643" w:firstLineChars="200"/>
        <w:rPr>
          <w:rFonts w:ascii="仿宋_GB2312" w:hAnsi="仿宋_GB2312" w:eastAsia="仿宋_GB2312"/>
          <w:b/>
          <w:bCs/>
          <w:color w:val="000000"/>
          <w:sz w:val="32"/>
          <w:szCs w:val="32"/>
        </w:rPr>
      </w:pPr>
    </w:p>
    <w:p>
      <w:pPr>
        <w:pStyle w:val="2"/>
        <w:spacing w:line="540" w:lineRule="exact"/>
        <w:ind w:firstLine="643" w:firstLineChars="200"/>
        <w:rPr>
          <w:rFonts w:ascii="仿宋_GB2312" w:hAnsi="仿宋_GB2312" w:eastAsia="仿宋_GB2312"/>
          <w:b/>
          <w:bCs/>
          <w:color w:val="000000"/>
          <w:sz w:val="32"/>
          <w:szCs w:val="32"/>
        </w:rPr>
      </w:pPr>
    </w:p>
    <w:p>
      <w:pPr>
        <w:pStyle w:val="2"/>
        <w:spacing w:line="540" w:lineRule="exact"/>
        <w:ind w:firstLine="643" w:firstLineChars="200"/>
        <w:rPr>
          <w:rFonts w:hint="eastAsia" w:ascii="仿宋_GB2312" w:hAnsi="仿宋_GB2312" w:eastAsia="仿宋_GB2312"/>
          <w:b/>
          <w:bCs/>
          <w:color w:val="000000"/>
          <w:sz w:val="32"/>
          <w:szCs w:val="32"/>
        </w:rPr>
      </w:pPr>
    </w:p>
    <w:p>
      <w:pPr>
        <w:pStyle w:val="2"/>
        <w:spacing w:line="540" w:lineRule="exact"/>
        <w:ind w:firstLine="643" w:firstLineChars="200"/>
        <w:rPr>
          <w:rFonts w:hint="eastAsia" w:ascii="仿宋_GB2312" w:hAnsi="仿宋_GB2312" w:eastAsia="仿宋_GB2312"/>
          <w:b/>
          <w:bCs/>
          <w:color w:val="000000"/>
          <w:sz w:val="32"/>
          <w:szCs w:val="32"/>
        </w:rPr>
      </w:pPr>
    </w:p>
    <w:p>
      <w:pPr>
        <w:pStyle w:val="2"/>
        <w:spacing w:line="540" w:lineRule="exact"/>
        <w:ind w:firstLine="643" w:firstLineChars="200"/>
        <w:rPr>
          <w:rFonts w:ascii="仿宋_GB2312" w:hAnsi="仿宋_GB2312" w:eastAsia="仿宋_GB2312"/>
          <w:b/>
          <w:bCs/>
          <w:color w:val="000000"/>
          <w:sz w:val="32"/>
          <w:szCs w:val="32"/>
        </w:rPr>
      </w:pPr>
    </w:p>
    <w:p>
      <w:pPr>
        <w:pStyle w:val="2"/>
        <w:spacing w:line="540" w:lineRule="exact"/>
        <w:ind w:firstLine="643" w:firstLineChars="200"/>
        <w:rPr>
          <w:rFonts w:ascii="仿宋_GB2312" w:hAnsi="仿宋_GB2312" w:eastAsia="仿宋_GB2312"/>
          <w:b/>
          <w:bCs/>
          <w:color w:val="000000"/>
          <w:sz w:val="32"/>
          <w:szCs w:val="32"/>
        </w:rPr>
      </w:pPr>
    </w:p>
    <w:p>
      <w:pPr>
        <w:pStyle w:val="2"/>
        <w:spacing w:line="540" w:lineRule="exact"/>
        <w:ind w:firstLine="643" w:firstLineChars="200"/>
        <w:rPr>
          <w:rFonts w:ascii="仿宋_GB2312" w:hAnsi="仿宋_GB2312" w:eastAsia="仿宋_GB2312"/>
          <w:b/>
          <w:bCs/>
          <w:color w:val="000000"/>
          <w:sz w:val="32"/>
          <w:szCs w:val="32"/>
        </w:rPr>
      </w:pPr>
    </w:p>
    <w:p>
      <w:pPr>
        <w:pStyle w:val="3"/>
        <w:spacing w:line="540" w:lineRule="exact"/>
        <w:ind w:firstLine="0" w:firstLineChars="0"/>
        <w:rPr>
          <w:rFonts w:ascii="方正小标宋简体" w:hAnsi="宋体" w:eastAsia="方正小标宋简体" w:cs="Times New Roman"/>
          <w:color w:val="000000"/>
          <w:kern w:val="0"/>
          <w:sz w:val="44"/>
          <w:szCs w:val="44"/>
        </w:rPr>
      </w:pPr>
      <w:r>
        <w:rPr>
          <w:rFonts w:hint="eastAsia" w:ascii="黑体" w:hAnsi="黑体" w:eastAsia="黑体" w:cs="黑体"/>
          <w:color w:val="000000"/>
        </w:rPr>
        <w:t>附件</w:t>
      </w:r>
    </w:p>
    <w:p>
      <w:pPr>
        <w:widowControl/>
        <w:jc w:val="center"/>
        <w:rPr>
          <w:rFonts w:ascii="方正小标宋简体" w:hAnsi="宋体" w:eastAsia="方正小标宋简体" w:cs="Times New Roman"/>
          <w:color w:val="000000"/>
          <w:kern w:val="0"/>
          <w:sz w:val="44"/>
          <w:szCs w:val="44"/>
        </w:rPr>
      </w:pPr>
      <w:r>
        <w:rPr>
          <w:rFonts w:hint="eastAsia" w:ascii="方正小标宋简体" w:hAnsi="宋体" w:eastAsia="方正小标宋简体" w:cs="方正小标宋简体"/>
          <w:color w:val="000000"/>
          <w:kern w:val="0"/>
          <w:sz w:val="44"/>
          <w:szCs w:val="44"/>
        </w:rPr>
        <w:t>全县基础教育学校项目建设规划表</w:t>
      </w:r>
    </w:p>
    <w:p>
      <w:pPr>
        <w:spacing w:after="156" w:afterLines="50" w:line="460" w:lineRule="exact"/>
        <w:jc w:val="center"/>
        <w:rPr>
          <w:rFonts w:ascii="黑体" w:hAnsi="黑体" w:eastAsia="黑体" w:cs="Times New Roman"/>
          <w:b/>
          <w:bCs/>
          <w:snapToGrid w:val="0"/>
          <w:color w:val="000000"/>
          <w:kern w:val="0"/>
          <w:sz w:val="28"/>
          <w:szCs w:val="28"/>
        </w:rPr>
      </w:pPr>
      <w:r>
        <w:rPr>
          <w:rFonts w:ascii="黑体" w:hAnsi="黑体" w:eastAsia="黑体" w:cs="黑体"/>
          <w:snapToGrid w:val="0"/>
          <w:color w:val="000000"/>
          <w:kern w:val="0"/>
          <w:sz w:val="28"/>
          <w:szCs w:val="28"/>
        </w:rPr>
        <w:t>1.</w:t>
      </w:r>
      <w:r>
        <w:rPr>
          <w:rFonts w:hint="eastAsia" w:ascii="黑体" w:hAnsi="黑体" w:eastAsia="黑体" w:cs="黑体"/>
          <w:snapToGrid w:val="0"/>
          <w:color w:val="000000"/>
          <w:kern w:val="0"/>
          <w:sz w:val="28"/>
          <w:szCs w:val="28"/>
        </w:rPr>
        <w:t>公办幼儿园项目</w:t>
      </w:r>
    </w:p>
    <w:tbl>
      <w:tblPr>
        <w:tblStyle w:val="9"/>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010"/>
        <w:gridCol w:w="3386"/>
        <w:gridCol w:w="886"/>
        <w:gridCol w:w="961"/>
        <w:gridCol w:w="1229"/>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blHeader/>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序号</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片区</w:t>
            </w:r>
          </w:p>
          <w:p>
            <w:pPr>
              <w:snapToGrid w:val="0"/>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乡镇</w:t>
            </w:r>
          </w:p>
        </w:tc>
        <w:tc>
          <w:tcPr>
            <w:tcW w:w="3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建</w:t>
            </w:r>
            <w:r>
              <w:rPr>
                <w:rFonts w:ascii="仿宋_GB2312" w:eastAsia="仿宋_GB2312" w:cs="仿宋_GB2312"/>
                <w:b/>
                <w:bCs/>
                <w:color w:val="000000"/>
                <w:sz w:val="24"/>
                <w:szCs w:val="24"/>
              </w:rPr>
              <w:t xml:space="preserve"> </w:t>
            </w:r>
            <w:r>
              <w:rPr>
                <w:rFonts w:hint="eastAsia" w:ascii="仿宋_GB2312" w:eastAsia="仿宋_GB2312" w:cs="仿宋_GB2312"/>
                <w:b/>
                <w:bCs/>
                <w:color w:val="000000"/>
                <w:sz w:val="24"/>
                <w:szCs w:val="24"/>
              </w:rPr>
              <w:t>设</w:t>
            </w:r>
            <w:r>
              <w:rPr>
                <w:rFonts w:ascii="仿宋_GB2312" w:eastAsia="仿宋_GB2312" w:cs="仿宋_GB2312"/>
                <w:b/>
                <w:bCs/>
                <w:color w:val="000000"/>
                <w:sz w:val="24"/>
                <w:szCs w:val="24"/>
              </w:rPr>
              <w:t xml:space="preserve"> </w:t>
            </w:r>
            <w:r>
              <w:rPr>
                <w:rFonts w:hint="eastAsia" w:ascii="仿宋_GB2312" w:eastAsia="仿宋_GB2312" w:cs="仿宋_GB2312"/>
                <w:b/>
                <w:bCs/>
                <w:color w:val="000000"/>
                <w:sz w:val="24"/>
                <w:szCs w:val="24"/>
              </w:rPr>
              <w:t>项</w:t>
            </w:r>
            <w:r>
              <w:rPr>
                <w:rFonts w:ascii="仿宋_GB2312" w:eastAsia="仿宋_GB2312" w:cs="仿宋_GB2312"/>
                <w:b/>
                <w:bCs/>
                <w:color w:val="000000"/>
                <w:sz w:val="24"/>
                <w:szCs w:val="24"/>
              </w:rPr>
              <w:t xml:space="preserve"> </w:t>
            </w:r>
            <w:r>
              <w:rPr>
                <w:rFonts w:hint="eastAsia" w:ascii="仿宋_GB2312" w:eastAsia="仿宋_GB2312" w:cs="仿宋_GB2312"/>
                <w:b/>
                <w:bCs/>
                <w:color w:val="000000"/>
                <w:sz w:val="24"/>
                <w:szCs w:val="24"/>
              </w:rPr>
              <w:t>目</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班级</w:t>
            </w:r>
          </w:p>
        </w:tc>
        <w:tc>
          <w:tcPr>
            <w:tcW w:w="9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学位</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投资额</w:t>
            </w:r>
          </w:p>
          <w:p>
            <w:pPr>
              <w:snapToGrid w:val="0"/>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（万元）</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投用</w:t>
            </w:r>
          </w:p>
          <w:p>
            <w:pPr>
              <w:snapToGrid w:val="0"/>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1</w:t>
            </w:r>
          </w:p>
        </w:tc>
        <w:tc>
          <w:tcPr>
            <w:tcW w:w="101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城东</w:t>
            </w:r>
          </w:p>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新城</w:t>
            </w:r>
          </w:p>
        </w:tc>
        <w:tc>
          <w:tcPr>
            <w:tcW w:w="3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参内中心幼儿园</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18</w:t>
            </w:r>
          </w:p>
        </w:tc>
        <w:tc>
          <w:tcPr>
            <w:tcW w:w="9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720</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3455</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2023</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2</w:t>
            </w:r>
          </w:p>
        </w:tc>
        <w:tc>
          <w:tcPr>
            <w:tcW w:w="101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p>
        </w:tc>
        <w:tc>
          <w:tcPr>
            <w:tcW w:w="3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城东第二中心幼儿园（参山）</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18</w:t>
            </w:r>
          </w:p>
        </w:tc>
        <w:tc>
          <w:tcPr>
            <w:tcW w:w="9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720</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2800</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2023</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3</w:t>
            </w:r>
          </w:p>
        </w:tc>
        <w:tc>
          <w:tcPr>
            <w:tcW w:w="101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p>
        </w:tc>
        <w:tc>
          <w:tcPr>
            <w:tcW w:w="3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城东第三中心幼儿园（美塘）</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18</w:t>
            </w:r>
          </w:p>
        </w:tc>
        <w:tc>
          <w:tcPr>
            <w:tcW w:w="9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720</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2600</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2023</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4</w:t>
            </w:r>
          </w:p>
        </w:tc>
        <w:tc>
          <w:tcPr>
            <w:tcW w:w="101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p>
        </w:tc>
        <w:tc>
          <w:tcPr>
            <w:tcW w:w="3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城东第四中心幼儿园（祜水）</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18</w:t>
            </w:r>
          </w:p>
        </w:tc>
        <w:tc>
          <w:tcPr>
            <w:tcW w:w="9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720</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3000</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2025</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5</w:t>
            </w:r>
          </w:p>
        </w:tc>
        <w:tc>
          <w:tcPr>
            <w:tcW w:w="101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p>
        </w:tc>
        <w:tc>
          <w:tcPr>
            <w:tcW w:w="3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大唐国韵春天配套幼儿园</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6</w:t>
            </w:r>
          </w:p>
        </w:tc>
        <w:tc>
          <w:tcPr>
            <w:tcW w:w="9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240</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2023</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6</w:t>
            </w:r>
          </w:p>
        </w:tc>
        <w:tc>
          <w:tcPr>
            <w:tcW w:w="101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p>
        </w:tc>
        <w:tc>
          <w:tcPr>
            <w:tcW w:w="3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中骏骏瑞公馆配套幼儿园</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12</w:t>
            </w:r>
          </w:p>
        </w:tc>
        <w:tc>
          <w:tcPr>
            <w:tcW w:w="9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480</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2023</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7</w:t>
            </w:r>
          </w:p>
        </w:tc>
        <w:tc>
          <w:tcPr>
            <w:tcW w:w="101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p>
        </w:tc>
        <w:tc>
          <w:tcPr>
            <w:tcW w:w="3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弘桥尚城配套幼儿园</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12</w:t>
            </w:r>
          </w:p>
        </w:tc>
        <w:tc>
          <w:tcPr>
            <w:tcW w:w="9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480</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2023</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8</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老城区</w:t>
            </w:r>
          </w:p>
        </w:tc>
        <w:tc>
          <w:tcPr>
            <w:tcW w:w="3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武装部幼儿园</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21</w:t>
            </w:r>
          </w:p>
        </w:tc>
        <w:tc>
          <w:tcPr>
            <w:tcW w:w="9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840</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500</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2025</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9</w:t>
            </w:r>
          </w:p>
        </w:tc>
        <w:tc>
          <w:tcPr>
            <w:tcW w:w="101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建安</w:t>
            </w:r>
          </w:p>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片区</w:t>
            </w:r>
          </w:p>
        </w:tc>
        <w:tc>
          <w:tcPr>
            <w:tcW w:w="3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建安幼儿园</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15</w:t>
            </w:r>
          </w:p>
        </w:tc>
        <w:tc>
          <w:tcPr>
            <w:tcW w:w="9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600</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4000</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2023</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10</w:t>
            </w:r>
          </w:p>
        </w:tc>
        <w:tc>
          <w:tcPr>
            <w:tcW w:w="101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p>
        </w:tc>
        <w:tc>
          <w:tcPr>
            <w:tcW w:w="3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鼎盛天辰配套幼儿园</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9</w:t>
            </w:r>
          </w:p>
        </w:tc>
        <w:tc>
          <w:tcPr>
            <w:tcW w:w="9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360</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2023</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11</w:t>
            </w:r>
          </w:p>
        </w:tc>
        <w:tc>
          <w:tcPr>
            <w:tcW w:w="101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p>
        </w:tc>
        <w:tc>
          <w:tcPr>
            <w:tcW w:w="3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隆恩瑞府公馆配套幼儿园</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9</w:t>
            </w:r>
          </w:p>
        </w:tc>
        <w:tc>
          <w:tcPr>
            <w:tcW w:w="9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360</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2024</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12</w:t>
            </w:r>
          </w:p>
        </w:tc>
        <w:tc>
          <w:tcPr>
            <w:tcW w:w="101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建安</w:t>
            </w:r>
          </w:p>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片区</w:t>
            </w:r>
          </w:p>
        </w:tc>
        <w:tc>
          <w:tcPr>
            <w:tcW w:w="3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天伦地块配套幼儿园</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9</w:t>
            </w:r>
          </w:p>
        </w:tc>
        <w:tc>
          <w:tcPr>
            <w:tcW w:w="9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360</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2024</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13</w:t>
            </w:r>
          </w:p>
        </w:tc>
        <w:tc>
          <w:tcPr>
            <w:tcW w:w="101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p>
        </w:tc>
        <w:tc>
          <w:tcPr>
            <w:tcW w:w="3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砖文片区幼儿园</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18</w:t>
            </w:r>
          </w:p>
        </w:tc>
        <w:tc>
          <w:tcPr>
            <w:tcW w:w="9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720</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3000</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2025</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14</w:t>
            </w:r>
          </w:p>
        </w:tc>
        <w:tc>
          <w:tcPr>
            <w:tcW w:w="101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p>
        </w:tc>
        <w:tc>
          <w:tcPr>
            <w:tcW w:w="3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清溪新城小区配套幼儿园</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9</w:t>
            </w:r>
          </w:p>
        </w:tc>
        <w:tc>
          <w:tcPr>
            <w:tcW w:w="9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360</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2024</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15</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同美</w:t>
            </w:r>
          </w:p>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片区</w:t>
            </w:r>
          </w:p>
        </w:tc>
        <w:tc>
          <w:tcPr>
            <w:tcW w:w="3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同美幼儿园</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18</w:t>
            </w:r>
          </w:p>
        </w:tc>
        <w:tc>
          <w:tcPr>
            <w:tcW w:w="9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720</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3000</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2025</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16</w:t>
            </w:r>
          </w:p>
        </w:tc>
        <w:tc>
          <w:tcPr>
            <w:tcW w:w="101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德苑</w:t>
            </w:r>
          </w:p>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片区</w:t>
            </w:r>
          </w:p>
        </w:tc>
        <w:tc>
          <w:tcPr>
            <w:tcW w:w="3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光德幼儿园</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18</w:t>
            </w:r>
          </w:p>
        </w:tc>
        <w:tc>
          <w:tcPr>
            <w:tcW w:w="9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720</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3000</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2025</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17</w:t>
            </w:r>
          </w:p>
        </w:tc>
        <w:tc>
          <w:tcPr>
            <w:tcW w:w="101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p>
        </w:tc>
        <w:tc>
          <w:tcPr>
            <w:tcW w:w="3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仙苑幼儿园</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18</w:t>
            </w:r>
          </w:p>
        </w:tc>
        <w:tc>
          <w:tcPr>
            <w:tcW w:w="9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720</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3000</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2025</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18</w:t>
            </w:r>
          </w:p>
        </w:tc>
        <w:tc>
          <w:tcPr>
            <w:tcW w:w="101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p>
        </w:tc>
        <w:tc>
          <w:tcPr>
            <w:tcW w:w="3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中标幼儿园</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18</w:t>
            </w:r>
          </w:p>
        </w:tc>
        <w:tc>
          <w:tcPr>
            <w:tcW w:w="9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720</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3000</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2025</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19</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城厢镇</w:t>
            </w:r>
          </w:p>
        </w:tc>
        <w:tc>
          <w:tcPr>
            <w:tcW w:w="3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城厢玉田幼儿园</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18</w:t>
            </w:r>
          </w:p>
        </w:tc>
        <w:tc>
          <w:tcPr>
            <w:tcW w:w="9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720</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3000</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2024</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20</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感德镇</w:t>
            </w:r>
          </w:p>
        </w:tc>
        <w:tc>
          <w:tcPr>
            <w:tcW w:w="3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感德第三中心幼儿园（霞春）</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12</w:t>
            </w:r>
          </w:p>
        </w:tc>
        <w:tc>
          <w:tcPr>
            <w:tcW w:w="9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480</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2000</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2023</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21</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龙涓乡</w:t>
            </w:r>
          </w:p>
        </w:tc>
        <w:tc>
          <w:tcPr>
            <w:tcW w:w="3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龙涓第三中心幼儿园（宝都）</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12</w:t>
            </w:r>
          </w:p>
        </w:tc>
        <w:tc>
          <w:tcPr>
            <w:tcW w:w="9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480</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2000</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2025</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22</w:t>
            </w:r>
          </w:p>
        </w:tc>
        <w:tc>
          <w:tcPr>
            <w:tcW w:w="101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官桥镇</w:t>
            </w:r>
          </w:p>
        </w:tc>
        <w:tc>
          <w:tcPr>
            <w:tcW w:w="3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官桥毓秀幼儿园</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15</w:t>
            </w:r>
          </w:p>
        </w:tc>
        <w:tc>
          <w:tcPr>
            <w:tcW w:w="9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600</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2500</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2025</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23</w:t>
            </w:r>
          </w:p>
        </w:tc>
        <w:tc>
          <w:tcPr>
            <w:tcW w:w="101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p>
        </w:tc>
        <w:tc>
          <w:tcPr>
            <w:tcW w:w="3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第二十一幼儿园</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15</w:t>
            </w:r>
          </w:p>
        </w:tc>
        <w:tc>
          <w:tcPr>
            <w:tcW w:w="9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600</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2500</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2025</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24</w:t>
            </w:r>
          </w:p>
        </w:tc>
        <w:tc>
          <w:tcPr>
            <w:tcW w:w="101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p>
        </w:tc>
        <w:tc>
          <w:tcPr>
            <w:tcW w:w="3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官桥中心幼儿园</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12</w:t>
            </w:r>
          </w:p>
        </w:tc>
        <w:tc>
          <w:tcPr>
            <w:tcW w:w="9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480</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2000</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2025</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25</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龙门镇</w:t>
            </w:r>
          </w:p>
        </w:tc>
        <w:tc>
          <w:tcPr>
            <w:tcW w:w="3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龙门中心幼儿园</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15</w:t>
            </w:r>
          </w:p>
        </w:tc>
        <w:tc>
          <w:tcPr>
            <w:tcW w:w="9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600</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2500</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2025</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26</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长卿镇</w:t>
            </w:r>
          </w:p>
        </w:tc>
        <w:tc>
          <w:tcPr>
            <w:tcW w:w="3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长卿中心幼儿园迁建</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p>
        </w:tc>
        <w:tc>
          <w:tcPr>
            <w:tcW w:w="9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color w:val="000000"/>
                <w:sz w:val="24"/>
                <w:szCs w:val="24"/>
              </w:rPr>
            </w:pPr>
            <w:r>
              <w:rPr>
                <w:rFonts w:ascii="仿宋_GB2312" w:eastAsia="仿宋_GB2312" w:cs="仿宋_GB2312"/>
                <w:color w:val="000000"/>
                <w:sz w:val="24"/>
                <w:szCs w:val="24"/>
              </w:rPr>
              <w:t>2500</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ascii="仿宋_GB2312" w:eastAsia="仿宋_GB2312" w:cs="仿宋_GB2312"/>
                <w:color w:val="000000"/>
                <w:sz w:val="24"/>
                <w:szCs w:val="24"/>
              </w:rPr>
              <w:t>2025</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94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r>
              <w:rPr>
                <w:rFonts w:hint="eastAsia" w:ascii="仿宋_GB2312" w:eastAsia="仿宋_GB2312" w:cs="仿宋_GB2312"/>
                <w:b/>
                <w:bCs/>
                <w:color w:val="000000"/>
                <w:sz w:val="24"/>
                <w:szCs w:val="24"/>
              </w:rPr>
              <w:t>合</w:t>
            </w:r>
            <w:r>
              <w:rPr>
                <w:rFonts w:ascii="仿宋_GB2312" w:eastAsia="仿宋_GB2312" w:cs="仿宋_GB2312"/>
                <w:b/>
                <w:bCs/>
                <w:color w:val="000000"/>
                <w:sz w:val="24"/>
                <w:szCs w:val="24"/>
              </w:rPr>
              <w:t xml:space="preserve">  </w:t>
            </w:r>
            <w:r>
              <w:rPr>
                <w:rFonts w:hint="eastAsia" w:ascii="仿宋_GB2312" w:eastAsia="仿宋_GB2312" w:cs="仿宋_GB2312"/>
                <w:b/>
                <w:bCs/>
                <w:color w:val="000000"/>
                <w:sz w:val="24"/>
                <w:szCs w:val="24"/>
              </w:rPr>
              <w:t>计</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b/>
                <w:bCs/>
                <w:color w:val="000000"/>
                <w:sz w:val="24"/>
                <w:szCs w:val="24"/>
              </w:rPr>
            </w:pPr>
            <w:r>
              <w:rPr>
                <w:rFonts w:ascii="仿宋_GB2312" w:eastAsia="仿宋_GB2312" w:cs="仿宋_GB2312"/>
                <w:b/>
                <w:bCs/>
                <w:color w:val="000000"/>
                <w:sz w:val="24"/>
                <w:szCs w:val="24"/>
              </w:rPr>
              <w:fldChar w:fldCharType="begin"/>
            </w:r>
            <w:r>
              <w:rPr>
                <w:rFonts w:ascii="仿宋_GB2312" w:eastAsia="仿宋_GB2312" w:cs="仿宋_GB2312"/>
                <w:b/>
                <w:bCs/>
                <w:color w:val="000000"/>
                <w:sz w:val="24"/>
                <w:szCs w:val="24"/>
              </w:rPr>
              <w:instrText xml:space="preserve"> =SUM(ABOVE) </w:instrText>
            </w:r>
            <w:r>
              <w:rPr>
                <w:rFonts w:ascii="仿宋_GB2312" w:eastAsia="仿宋_GB2312" w:cs="仿宋_GB2312"/>
                <w:b/>
                <w:bCs/>
                <w:color w:val="000000"/>
                <w:sz w:val="24"/>
                <w:szCs w:val="24"/>
              </w:rPr>
              <w:fldChar w:fldCharType="separate"/>
            </w:r>
            <w:r>
              <w:rPr>
                <w:rFonts w:ascii="仿宋_GB2312" w:eastAsia="仿宋_GB2312" w:cs="仿宋_GB2312"/>
                <w:b/>
                <w:bCs/>
                <w:color w:val="000000"/>
                <w:sz w:val="24"/>
                <w:szCs w:val="24"/>
              </w:rPr>
              <w:t>36</w:t>
            </w:r>
            <w:r>
              <w:rPr>
                <w:rFonts w:ascii="仿宋_GB2312" w:eastAsia="仿宋_GB2312" w:cs="仿宋_GB2312"/>
                <w:b/>
                <w:bCs/>
                <w:color w:val="000000"/>
                <w:sz w:val="24"/>
                <w:szCs w:val="24"/>
              </w:rPr>
              <w:fldChar w:fldCharType="end"/>
            </w:r>
            <w:r>
              <w:rPr>
                <w:rFonts w:ascii="仿宋_GB2312" w:eastAsia="仿宋_GB2312" w:cs="仿宋_GB2312"/>
                <w:b/>
                <w:bCs/>
                <w:color w:val="000000"/>
                <w:sz w:val="24"/>
                <w:szCs w:val="24"/>
              </w:rPr>
              <w:t>3</w:t>
            </w:r>
          </w:p>
        </w:tc>
        <w:tc>
          <w:tcPr>
            <w:tcW w:w="9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b/>
                <w:bCs/>
                <w:color w:val="000000"/>
                <w:sz w:val="24"/>
                <w:szCs w:val="24"/>
              </w:rPr>
            </w:pPr>
            <w:r>
              <w:rPr>
                <w:rFonts w:ascii="仿宋_GB2312" w:eastAsia="仿宋_GB2312" w:cs="仿宋_GB2312"/>
                <w:b/>
                <w:bCs/>
                <w:color w:val="000000"/>
                <w:sz w:val="24"/>
                <w:szCs w:val="24"/>
              </w:rPr>
              <w:fldChar w:fldCharType="begin"/>
            </w:r>
            <w:r>
              <w:rPr>
                <w:rFonts w:ascii="仿宋_GB2312" w:eastAsia="仿宋_GB2312" w:cs="仿宋_GB2312"/>
                <w:b/>
                <w:bCs/>
                <w:color w:val="000000"/>
                <w:sz w:val="24"/>
                <w:szCs w:val="24"/>
              </w:rPr>
              <w:instrText xml:space="preserve"> =SUM(ABOVE) </w:instrText>
            </w:r>
            <w:r>
              <w:rPr>
                <w:rFonts w:ascii="仿宋_GB2312" w:eastAsia="仿宋_GB2312" w:cs="仿宋_GB2312"/>
                <w:b/>
                <w:bCs/>
                <w:color w:val="000000"/>
                <w:sz w:val="24"/>
                <w:szCs w:val="24"/>
              </w:rPr>
              <w:fldChar w:fldCharType="separate"/>
            </w:r>
            <w:r>
              <w:rPr>
                <w:rFonts w:ascii="仿宋_GB2312" w:eastAsia="仿宋_GB2312" w:cs="仿宋_GB2312"/>
                <w:b/>
                <w:bCs/>
                <w:color w:val="000000"/>
                <w:sz w:val="24"/>
                <w:szCs w:val="24"/>
              </w:rPr>
              <w:t>14520</w:t>
            </w:r>
            <w:r>
              <w:rPr>
                <w:rFonts w:ascii="仿宋_GB2312" w:eastAsia="仿宋_GB2312" w:cs="仿宋_GB2312"/>
                <w:b/>
                <w:bCs/>
                <w:color w:val="000000"/>
                <w:sz w:val="24"/>
                <w:szCs w:val="24"/>
              </w:rPr>
              <w:fldChar w:fldCharType="end"/>
            </w:r>
          </w:p>
        </w:tc>
        <w:tc>
          <w:tcPr>
            <w:tcW w:w="12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仿宋_GB2312"/>
                <w:b/>
                <w:bCs/>
                <w:color w:val="000000"/>
                <w:sz w:val="24"/>
                <w:szCs w:val="24"/>
              </w:rPr>
            </w:pPr>
            <w:r>
              <w:rPr>
                <w:rFonts w:ascii="仿宋_GB2312" w:eastAsia="仿宋_GB2312" w:cs="仿宋_GB2312"/>
                <w:b/>
                <w:bCs/>
                <w:color w:val="000000"/>
                <w:sz w:val="24"/>
                <w:szCs w:val="24"/>
              </w:rPr>
              <w:t>50355</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cs="Times New Roman"/>
                <w:color w:val="000000"/>
                <w:sz w:val="24"/>
                <w:szCs w:val="24"/>
              </w:rPr>
            </w:pPr>
          </w:p>
        </w:tc>
      </w:tr>
    </w:tbl>
    <w:p>
      <w:pPr>
        <w:spacing w:before="156" w:beforeLines="50" w:after="156" w:afterLines="50" w:line="460" w:lineRule="exact"/>
        <w:jc w:val="center"/>
        <w:rPr>
          <w:rFonts w:ascii="黑体" w:hAnsi="黑体" w:eastAsia="黑体" w:cs="黑体"/>
          <w:snapToGrid w:val="0"/>
          <w:color w:val="000000"/>
          <w:kern w:val="0"/>
          <w:sz w:val="28"/>
          <w:szCs w:val="28"/>
        </w:rPr>
      </w:pPr>
    </w:p>
    <w:p>
      <w:pPr>
        <w:spacing w:before="156" w:beforeLines="50" w:after="156" w:afterLines="50" w:line="460" w:lineRule="exact"/>
        <w:jc w:val="center"/>
        <w:rPr>
          <w:rFonts w:ascii="黑体" w:hAnsi="黑体" w:eastAsia="黑体" w:cs="Times New Roman"/>
          <w:snapToGrid w:val="0"/>
          <w:color w:val="000000"/>
          <w:kern w:val="0"/>
          <w:sz w:val="28"/>
          <w:szCs w:val="28"/>
        </w:rPr>
      </w:pPr>
      <w:r>
        <w:rPr>
          <w:rFonts w:ascii="黑体" w:hAnsi="黑体" w:eastAsia="黑体" w:cs="黑体"/>
          <w:snapToGrid w:val="0"/>
          <w:color w:val="000000"/>
          <w:kern w:val="0"/>
          <w:sz w:val="28"/>
          <w:szCs w:val="28"/>
        </w:rPr>
        <w:t>2.</w:t>
      </w:r>
      <w:r>
        <w:rPr>
          <w:rFonts w:hint="eastAsia" w:ascii="黑体" w:hAnsi="黑体" w:eastAsia="黑体" w:cs="黑体"/>
          <w:snapToGrid w:val="0"/>
          <w:color w:val="000000"/>
          <w:kern w:val="0"/>
          <w:sz w:val="28"/>
          <w:szCs w:val="28"/>
        </w:rPr>
        <w:t>小学项目</w:t>
      </w:r>
    </w:p>
    <w:tbl>
      <w:tblPr>
        <w:tblStyle w:val="9"/>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076"/>
        <w:gridCol w:w="3315"/>
        <w:gridCol w:w="896"/>
        <w:gridCol w:w="972"/>
        <w:gridCol w:w="1242"/>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序号</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片区</w:t>
            </w:r>
          </w:p>
          <w:p>
            <w:pPr>
              <w:spacing w:line="460" w:lineRule="exact"/>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乡镇</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建</w:t>
            </w:r>
            <w:r>
              <w:rPr>
                <w:rFonts w:ascii="仿宋_GB2312" w:eastAsia="仿宋_GB2312" w:cs="仿宋_GB2312"/>
                <w:b/>
                <w:bCs/>
                <w:color w:val="000000"/>
                <w:sz w:val="24"/>
                <w:szCs w:val="24"/>
              </w:rPr>
              <w:t xml:space="preserve"> </w:t>
            </w:r>
            <w:r>
              <w:rPr>
                <w:rFonts w:hint="eastAsia" w:ascii="仿宋_GB2312" w:eastAsia="仿宋_GB2312" w:cs="仿宋_GB2312"/>
                <w:b/>
                <w:bCs/>
                <w:color w:val="000000"/>
                <w:sz w:val="24"/>
                <w:szCs w:val="24"/>
              </w:rPr>
              <w:t>设</w:t>
            </w:r>
            <w:r>
              <w:rPr>
                <w:rFonts w:ascii="仿宋_GB2312" w:eastAsia="仿宋_GB2312" w:cs="仿宋_GB2312"/>
                <w:b/>
                <w:bCs/>
                <w:color w:val="000000"/>
                <w:sz w:val="24"/>
                <w:szCs w:val="24"/>
              </w:rPr>
              <w:t xml:space="preserve"> </w:t>
            </w:r>
            <w:r>
              <w:rPr>
                <w:rFonts w:hint="eastAsia" w:ascii="仿宋_GB2312" w:eastAsia="仿宋_GB2312" w:cs="仿宋_GB2312"/>
                <w:b/>
                <w:bCs/>
                <w:color w:val="000000"/>
                <w:sz w:val="24"/>
                <w:szCs w:val="24"/>
              </w:rPr>
              <w:t>项</w:t>
            </w:r>
            <w:r>
              <w:rPr>
                <w:rFonts w:ascii="仿宋_GB2312" w:eastAsia="仿宋_GB2312" w:cs="仿宋_GB2312"/>
                <w:b/>
                <w:bCs/>
                <w:color w:val="000000"/>
                <w:sz w:val="24"/>
                <w:szCs w:val="24"/>
              </w:rPr>
              <w:t xml:space="preserve"> </w:t>
            </w:r>
            <w:r>
              <w:rPr>
                <w:rFonts w:hint="eastAsia" w:ascii="仿宋_GB2312" w:eastAsia="仿宋_GB2312" w:cs="仿宋_GB2312"/>
                <w:b/>
                <w:bCs/>
                <w:color w:val="000000"/>
                <w:sz w:val="24"/>
                <w:szCs w:val="24"/>
              </w:rPr>
              <w:t>目</w:t>
            </w: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班级</w:t>
            </w:r>
          </w:p>
        </w:tc>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学位</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投资额</w:t>
            </w:r>
          </w:p>
          <w:p>
            <w:pPr>
              <w:spacing w:line="460" w:lineRule="exact"/>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（万元）</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投用</w:t>
            </w:r>
          </w:p>
          <w:p>
            <w:pPr>
              <w:spacing w:line="460" w:lineRule="exact"/>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1</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老城区</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实小分校区（凤山书院片区）</w:t>
            </w: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48</w:t>
            </w:r>
          </w:p>
        </w:tc>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2400</w:t>
            </w:r>
          </w:p>
        </w:tc>
        <w:tc>
          <w:tcPr>
            <w:tcW w:w="1242"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7000</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2025</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2</w:t>
            </w: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城东</w:t>
            </w:r>
          </w:p>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新城</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城东第二中心小学（参山）</w:t>
            </w: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48</w:t>
            </w:r>
          </w:p>
        </w:tc>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2400</w:t>
            </w:r>
          </w:p>
        </w:tc>
        <w:tc>
          <w:tcPr>
            <w:tcW w:w="1242"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8200</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2023</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3</w:t>
            </w: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p>
        </w:tc>
        <w:tc>
          <w:tcPr>
            <w:tcW w:w="331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城东第三中心小学（美塘）</w:t>
            </w: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48</w:t>
            </w:r>
          </w:p>
        </w:tc>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2400</w:t>
            </w:r>
          </w:p>
        </w:tc>
        <w:tc>
          <w:tcPr>
            <w:tcW w:w="1242"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8000</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2023</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4</w:t>
            </w: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p>
        </w:tc>
        <w:tc>
          <w:tcPr>
            <w:tcW w:w="331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城东第四中心小学（祜水）</w:t>
            </w: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48</w:t>
            </w:r>
          </w:p>
        </w:tc>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2400</w:t>
            </w:r>
          </w:p>
        </w:tc>
        <w:tc>
          <w:tcPr>
            <w:tcW w:w="1242"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8800</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2025</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5</w:t>
            </w: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建安</w:t>
            </w:r>
          </w:p>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片区</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建安小学</w:t>
            </w: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48</w:t>
            </w:r>
          </w:p>
        </w:tc>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2400</w:t>
            </w:r>
          </w:p>
        </w:tc>
        <w:tc>
          <w:tcPr>
            <w:tcW w:w="1242"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10000</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2023</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6</w:t>
            </w: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p>
        </w:tc>
        <w:tc>
          <w:tcPr>
            <w:tcW w:w="331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后</w:t>
            </w:r>
            <w:r>
              <w:rPr>
                <w:rFonts w:hint="eastAsia" w:ascii="仿宋_GB2312" w:cs="宋体"/>
                <w:color w:val="000000"/>
                <w:sz w:val="24"/>
                <w:szCs w:val="24"/>
              </w:rPr>
              <w:t>垵</w:t>
            </w:r>
            <w:r>
              <w:rPr>
                <w:rFonts w:hint="eastAsia" w:ascii="仿宋_GB2312" w:eastAsia="仿宋_GB2312" w:cs="仿宋_GB2312"/>
                <w:color w:val="000000"/>
                <w:sz w:val="24"/>
                <w:szCs w:val="24"/>
              </w:rPr>
              <w:t>小学二期</w:t>
            </w: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15</w:t>
            </w:r>
          </w:p>
        </w:tc>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750</w:t>
            </w:r>
          </w:p>
        </w:tc>
        <w:tc>
          <w:tcPr>
            <w:tcW w:w="1242"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4000</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2023</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7</w:t>
            </w: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p>
        </w:tc>
        <w:tc>
          <w:tcPr>
            <w:tcW w:w="331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第九小学教学综合楼扩建</w:t>
            </w: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14</w:t>
            </w:r>
          </w:p>
        </w:tc>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700</w:t>
            </w:r>
          </w:p>
        </w:tc>
        <w:tc>
          <w:tcPr>
            <w:tcW w:w="1242"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2000</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2024</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8</w:t>
            </w: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p>
        </w:tc>
        <w:tc>
          <w:tcPr>
            <w:tcW w:w="331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第十七小学二期</w:t>
            </w: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20</w:t>
            </w:r>
          </w:p>
        </w:tc>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1000</w:t>
            </w:r>
          </w:p>
        </w:tc>
        <w:tc>
          <w:tcPr>
            <w:tcW w:w="1242"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3500</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2023</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9</w:t>
            </w: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同美</w:t>
            </w:r>
          </w:p>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片区</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同美小学</w:t>
            </w: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36</w:t>
            </w:r>
          </w:p>
        </w:tc>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1800</w:t>
            </w:r>
          </w:p>
        </w:tc>
        <w:tc>
          <w:tcPr>
            <w:tcW w:w="1242"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7000</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2026</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10</w:t>
            </w: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p>
        </w:tc>
        <w:tc>
          <w:tcPr>
            <w:tcW w:w="331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城厢中心小学扩建</w:t>
            </w: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20</w:t>
            </w:r>
          </w:p>
        </w:tc>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1000</w:t>
            </w:r>
          </w:p>
        </w:tc>
        <w:tc>
          <w:tcPr>
            <w:tcW w:w="1242"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1500</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2026</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11</w:t>
            </w: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德苑</w:t>
            </w:r>
          </w:p>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片区</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第二十小学扩建</w:t>
            </w: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20</w:t>
            </w:r>
          </w:p>
        </w:tc>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1000</w:t>
            </w:r>
          </w:p>
        </w:tc>
        <w:tc>
          <w:tcPr>
            <w:tcW w:w="1242"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1500</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2025</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12</w:t>
            </w: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p>
        </w:tc>
        <w:tc>
          <w:tcPr>
            <w:tcW w:w="331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第二十六小学</w:t>
            </w: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40</w:t>
            </w:r>
          </w:p>
        </w:tc>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2000</w:t>
            </w:r>
          </w:p>
        </w:tc>
        <w:tc>
          <w:tcPr>
            <w:tcW w:w="1242"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6530</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2023</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13</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湖头镇</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湖头第五中心小学二期</w:t>
            </w: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24</w:t>
            </w:r>
          </w:p>
        </w:tc>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1200</w:t>
            </w:r>
          </w:p>
        </w:tc>
        <w:tc>
          <w:tcPr>
            <w:tcW w:w="1242"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2000</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2024</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14</w:t>
            </w: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官桥镇</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第二十一小学二期</w:t>
            </w: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30</w:t>
            </w:r>
          </w:p>
        </w:tc>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1500</w:t>
            </w:r>
          </w:p>
        </w:tc>
        <w:tc>
          <w:tcPr>
            <w:tcW w:w="1242"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5000</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2023</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15</w:t>
            </w: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p>
        </w:tc>
        <w:tc>
          <w:tcPr>
            <w:tcW w:w="331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第二十二小学（一期）</w:t>
            </w: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48</w:t>
            </w:r>
          </w:p>
        </w:tc>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2400</w:t>
            </w:r>
          </w:p>
        </w:tc>
        <w:tc>
          <w:tcPr>
            <w:tcW w:w="1242"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8000</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2024</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16</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龙门镇</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第二十三小学</w:t>
            </w: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60</w:t>
            </w:r>
          </w:p>
        </w:tc>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3000</w:t>
            </w:r>
          </w:p>
        </w:tc>
        <w:tc>
          <w:tcPr>
            <w:tcW w:w="1242"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10000</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2023</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17</w:t>
            </w: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pacing w:val="-20"/>
                <w:sz w:val="24"/>
                <w:szCs w:val="24"/>
              </w:rPr>
              <w:t>剑斗镇</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剑斗中心小学</w:t>
            </w: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24</w:t>
            </w:r>
          </w:p>
        </w:tc>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1200</w:t>
            </w:r>
          </w:p>
        </w:tc>
        <w:tc>
          <w:tcPr>
            <w:tcW w:w="1242"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4000</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2023</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18</w:t>
            </w: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p>
        </w:tc>
        <w:tc>
          <w:tcPr>
            <w:tcW w:w="331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仙荣小学</w:t>
            </w: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6</w:t>
            </w:r>
          </w:p>
        </w:tc>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300</w:t>
            </w:r>
          </w:p>
        </w:tc>
        <w:tc>
          <w:tcPr>
            <w:tcW w:w="1242"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1000</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2024</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994"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合</w:t>
            </w:r>
            <w:r>
              <w:rPr>
                <w:rFonts w:ascii="仿宋_GB2312" w:eastAsia="仿宋_GB2312" w:cs="仿宋_GB2312"/>
                <w:b/>
                <w:bCs/>
                <w:color w:val="000000"/>
                <w:sz w:val="24"/>
                <w:szCs w:val="24"/>
              </w:rPr>
              <w:t xml:space="preserve">  </w:t>
            </w:r>
            <w:r>
              <w:rPr>
                <w:rFonts w:hint="eastAsia" w:ascii="仿宋_GB2312" w:eastAsia="仿宋_GB2312" w:cs="仿宋_GB2312"/>
                <w:b/>
                <w:bCs/>
                <w:color w:val="000000"/>
                <w:sz w:val="24"/>
                <w:szCs w:val="24"/>
              </w:rPr>
              <w:t>计</w:t>
            </w: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b/>
                <w:bCs/>
                <w:color w:val="000000"/>
                <w:sz w:val="24"/>
                <w:szCs w:val="24"/>
              </w:rPr>
            </w:pPr>
            <w:r>
              <w:rPr>
                <w:rFonts w:ascii="仿宋_GB2312" w:eastAsia="仿宋_GB2312" w:cs="仿宋_GB2312"/>
                <w:b/>
                <w:bCs/>
                <w:color w:val="000000"/>
                <w:sz w:val="24"/>
                <w:szCs w:val="24"/>
              </w:rPr>
              <w:t>597</w:t>
            </w:r>
          </w:p>
        </w:tc>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b/>
                <w:bCs/>
                <w:color w:val="000000"/>
                <w:sz w:val="24"/>
                <w:szCs w:val="24"/>
              </w:rPr>
            </w:pPr>
            <w:r>
              <w:rPr>
                <w:rFonts w:ascii="仿宋_GB2312" w:eastAsia="仿宋_GB2312" w:cs="仿宋_GB2312"/>
                <w:b/>
                <w:bCs/>
                <w:color w:val="000000"/>
                <w:sz w:val="24"/>
                <w:szCs w:val="24"/>
              </w:rPr>
              <w:fldChar w:fldCharType="begin"/>
            </w:r>
            <w:r>
              <w:rPr>
                <w:rFonts w:ascii="仿宋_GB2312" w:eastAsia="仿宋_GB2312" w:cs="仿宋_GB2312"/>
                <w:b/>
                <w:bCs/>
                <w:color w:val="000000"/>
                <w:sz w:val="24"/>
                <w:szCs w:val="24"/>
              </w:rPr>
              <w:instrText xml:space="preserve"> =SUM(ABOVE) </w:instrText>
            </w:r>
            <w:r>
              <w:rPr>
                <w:rFonts w:ascii="仿宋_GB2312" w:eastAsia="仿宋_GB2312" w:cs="仿宋_GB2312"/>
                <w:b/>
                <w:bCs/>
                <w:color w:val="000000"/>
                <w:sz w:val="24"/>
                <w:szCs w:val="24"/>
              </w:rPr>
              <w:fldChar w:fldCharType="separate"/>
            </w:r>
            <w:r>
              <w:rPr>
                <w:rFonts w:ascii="仿宋_GB2312" w:eastAsia="仿宋_GB2312" w:cs="仿宋_GB2312"/>
                <w:b/>
                <w:bCs/>
                <w:color w:val="000000"/>
                <w:sz w:val="24"/>
                <w:szCs w:val="24"/>
              </w:rPr>
              <w:t>29850</w:t>
            </w:r>
            <w:r>
              <w:rPr>
                <w:rFonts w:ascii="仿宋_GB2312" w:eastAsia="仿宋_GB2312" w:cs="仿宋_GB2312"/>
                <w:b/>
                <w:bCs/>
                <w:color w:val="000000"/>
                <w:sz w:val="24"/>
                <w:szCs w:val="24"/>
              </w:rPr>
              <w:fldChar w:fldCharType="end"/>
            </w:r>
          </w:p>
        </w:tc>
        <w:tc>
          <w:tcPr>
            <w:tcW w:w="1242"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s="Times New Roman"/>
                <w:b/>
                <w:bCs/>
                <w:color w:val="000000"/>
                <w:sz w:val="24"/>
                <w:szCs w:val="24"/>
              </w:rPr>
            </w:pPr>
            <w:r>
              <w:rPr>
                <w:rFonts w:ascii="仿宋_GB2312" w:eastAsia="仿宋_GB2312" w:cs="仿宋_GB2312"/>
                <w:b/>
                <w:bCs/>
                <w:color w:val="000000"/>
                <w:sz w:val="24"/>
                <w:szCs w:val="24"/>
              </w:rPr>
              <w:fldChar w:fldCharType="begin"/>
            </w:r>
            <w:r>
              <w:rPr>
                <w:rFonts w:ascii="仿宋_GB2312" w:eastAsia="仿宋_GB2312" w:cs="仿宋_GB2312"/>
                <w:b/>
                <w:bCs/>
                <w:color w:val="000000"/>
                <w:sz w:val="24"/>
                <w:szCs w:val="24"/>
              </w:rPr>
              <w:instrText xml:space="preserve"> =SUM(ABOVE) </w:instrText>
            </w:r>
            <w:r>
              <w:rPr>
                <w:rFonts w:ascii="仿宋_GB2312" w:eastAsia="仿宋_GB2312" w:cs="仿宋_GB2312"/>
                <w:b/>
                <w:bCs/>
                <w:color w:val="000000"/>
                <w:sz w:val="24"/>
                <w:szCs w:val="24"/>
              </w:rPr>
              <w:fldChar w:fldCharType="separate"/>
            </w:r>
            <w:r>
              <w:rPr>
                <w:rFonts w:ascii="仿宋_GB2312" w:eastAsia="仿宋_GB2312" w:cs="仿宋_GB2312"/>
                <w:b/>
                <w:bCs/>
                <w:color w:val="000000"/>
                <w:sz w:val="24"/>
                <w:szCs w:val="24"/>
              </w:rPr>
              <w:t>98030</w:t>
            </w:r>
            <w:r>
              <w:rPr>
                <w:rFonts w:ascii="仿宋_GB2312" w:eastAsia="仿宋_GB2312" w:cs="仿宋_GB2312"/>
                <w:b/>
                <w:bCs/>
                <w:color w:val="000000"/>
                <w:sz w:val="24"/>
                <w:szCs w:val="24"/>
              </w:rPr>
              <w:fldChar w:fldCharType="end"/>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b/>
                <w:bCs/>
                <w:color w:val="000000"/>
                <w:sz w:val="24"/>
                <w:szCs w:val="24"/>
              </w:rPr>
            </w:pPr>
          </w:p>
        </w:tc>
      </w:tr>
    </w:tbl>
    <w:p>
      <w:pPr>
        <w:spacing w:before="156" w:beforeLines="50" w:after="156" w:afterLines="50" w:line="460" w:lineRule="exact"/>
        <w:jc w:val="center"/>
        <w:rPr>
          <w:rFonts w:ascii="黑体" w:hAnsi="黑体" w:eastAsia="黑体" w:cs="Times New Roman"/>
          <w:snapToGrid w:val="0"/>
          <w:color w:val="000000"/>
          <w:kern w:val="0"/>
          <w:sz w:val="28"/>
          <w:szCs w:val="28"/>
        </w:rPr>
      </w:pPr>
    </w:p>
    <w:p>
      <w:pPr>
        <w:spacing w:before="156" w:beforeLines="50" w:after="156" w:afterLines="50" w:line="460" w:lineRule="exact"/>
        <w:jc w:val="center"/>
        <w:rPr>
          <w:rFonts w:ascii="黑体" w:hAnsi="黑体" w:eastAsia="黑体" w:cs="Times New Roman"/>
          <w:snapToGrid w:val="0"/>
          <w:color w:val="000000"/>
          <w:kern w:val="0"/>
          <w:sz w:val="28"/>
          <w:szCs w:val="28"/>
        </w:rPr>
      </w:pPr>
    </w:p>
    <w:p>
      <w:pPr>
        <w:spacing w:before="156" w:beforeLines="50" w:after="156" w:afterLines="50" w:line="460" w:lineRule="exact"/>
        <w:jc w:val="center"/>
        <w:rPr>
          <w:rFonts w:ascii="黑体" w:hAnsi="黑体" w:eastAsia="黑体" w:cs="黑体"/>
          <w:snapToGrid w:val="0"/>
          <w:color w:val="000000"/>
          <w:kern w:val="0"/>
          <w:sz w:val="28"/>
          <w:szCs w:val="28"/>
        </w:rPr>
      </w:pPr>
    </w:p>
    <w:p>
      <w:pPr>
        <w:spacing w:before="156" w:beforeLines="50" w:after="156" w:afterLines="50" w:line="460" w:lineRule="exact"/>
        <w:jc w:val="center"/>
        <w:rPr>
          <w:rFonts w:ascii="黑体" w:hAnsi="黑体" w:eastAsia="黑体" w:cs="黑体"/>
          <w:snapToGrid w:val="0"/>
          <w:color w:val="000000"/>
          <w:kern w:val="0"/>
          <w:sz w:val="28"/>
          <w:szCs w:val="28"/>
        </w:rPr>
      </w:pPr>
    </w:p>
    <w:p>
      <w:pPr>
        <w:spacing w:before="156" w:beforeLines="50" w:after="156" w:afterLines="50" w:line="460" w:lineRule="exact"/>
        <w:jc w:val="center"/>
        <w:rPr>
          <w:rFonts w:ascii="黑体" w:hAnsi="黑体" w:eastAsia="黑体" w:cs="Times New Roman"/>
          <w:snapToGrid w:val="0"/>
          <w:color w:val="000000"/>
          <w:kern w:val="0"/>
          <w:sz w:val="28"/>
          <w:szCs w:val="28"/>
        </w:rPr>
      </w:pPr>
      <w:r>
        <w:rPr>
          <w:rFonts w:ascii="黑体" w:hAnsi="黑体" w:eastAsia="黑体" w:cs="黑体"/>
          <w:snapToGrid w:val="0"/>
          <w:color w:val="000000"/>
          <w:kern w:val="0"/>
          <w:sz w:val="28"/>
          <w:szCs w:val="28"/>
        </w:rPr>
        <w:t>3.</w:t>
      </w:r>
      <w:r>
        <w:rPr>
          <w:rFonts w:hint="eastAsia" w:ascii="黑体" w:hAnsi="黑体" w:eastAsia="黑体" w:cs="黑体"/>
          <w:snapToGrid w:val="0"/>
          <w:color w:val="000000"/>
          <w:kern w:val="0"/>
          <w:sz w:val="28"/>
          <w:szCs w:val="28"/>
        </w:rPr>
        <w:t>初中校项目</w:t>
      </w:r>
    </w:p>
    <w:tbl>
      <w:tblPr>
        <w:tblStyle w:val="9"/>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280"/>
        <w:gridCol w:w="3071"/>
        <w:gridCol w:w="888"/>
        <w:gridCol w:w="963"/>
        <w:gridCol w:w="1231"/>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序号</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片区</w:t>
            </w:r>
          </w:p>
          <w:p>
            <w:pPr>
              <w:spacing w:line="460" w:lineRule="exact"/>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乡镇</w:t>
            </w:r>
          </w:p>
        </w:tc>
        <w:tc>
          <w:tcPr>
            <w:tcW w:w="307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建</w:t>
            </w:r>
            <w:r>
              <w:rPr>
                <w:rFonts w:ascii="仿宋_GB2312" w:eastAsia="仿宋_GB2312" w:cs="仿宋_GB2312"/>
                <w:b/>
                <w:bCs/>
                <w:color w:val="000000"/>
                <w:sz w:val="24"/>
                <w:szCs w:val="24"/>
              </w:rPr>
              <w:t xml:space="preserve"> </w:t>
            </w:r>
            <w:r>
              <w:rPr>
                <w:rFonts w:hint="eastAsia" w:ascii="仿宋_GB2312" w:eastAsia="仿宋_GB2312" w:cs="仿宋_GB2312"/>
                <w:b/>
                <w:bCs/>
                <w:color w:val="000000"/>
                <w:sz w:val="24"/>
                <w:szCs w:val="24"/>
              </w:rPr>
              <w:t>设</w:t>
            </w:r>
            <w:r>
              <w:rPr>
                <w:rFonts w:ascii="仿宋_GB2312" w:eastAsia="仿宋_GB2312" w:cs="仿宋_GB2312"/>
                <w:b/>
                <w:bCs/>
                <w:color w:val="000000"/>
                <w:sz w:val="24"/>
                <w:szCs w:val="24"/>
              </w:rPr>
              <w:t xml:space="preserve"> </w:t>
            </w:r>
            <w:r>
              <w:rPr>
                <w:rFonts w:hint="eastAsia" w:ascii="仿宋_GB2312" w:eastAsia="仿宋_GB2312" w:cs="仿宋_GB2312"/>
                <w:b/>
                <w:bCs/>
                <w:color w:val="000000"/>
                <w:sz w:val="24"/>
                <w:szCs w:val="24"/>
              </w:rPr>
              <w:t>项</w:t>
            </w:r>
            <w:r>
              <w:rPr>
                <w:rFonts w:ascii="仿宋_GB2312" w:eastAsia="仿宋_GB2312" w:cs="仿宋_GB2312"/>
                <w:b/>
                <w:bCs/>
                <w:color w:val="000000"/>
                <w:sz w:val="24"/>
                <w:szCs w:val="24"/>
              </w:rPr>
              <w:t xml:space="preserve"> </w:t>
            </w:r>
            <w:r>
              <w:rPr>
                <w:rFonts w:hint="eastAsia" w:ascii="仿宋_GB2312" w:eastAsia="仿宋_GB2312" w:cs="仿宋_GB2312"/>
                <w:b/>
                <w:bCs/>
                <w:color w:val="000000"/>
                <w:sz w:val="24"/>
                <w:szCs w:val="24"/>
              </w:rPr>
              <w:t>目</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班级</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学位</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投资额</w:t>
            </w:r>
          </w:p>
          <w:p>
            <w:pPr>
              <w:spacing w:line="460" w:lineRule="exact"/>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（万元）</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投用</w:t>
            </w:r>
          </w:p>
          <w:p>
            <w:pPr>
              <w:spacing w:line="460" w:lineRule="exact"/>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1</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城东新城</w:t>
            </w:r>
          </w:p>
        </w:tc>
        <w:tc>
          <w:tcPr>
            <w:tcW w:w="307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祜水片区中学</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60</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3000</w:t>
            </w:r>
          </w:p>
        </w:tc>
        <w:tc>
          <w:tcPr>
            <w:tcW w:w="1231"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12000</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rPr>
            </w:pPr>
            <w:r>
              <w:rPr>
                <w:rFonts w:ascii="仿宋_GB2312" w:eastAsia="仿宋_GB2312" w:cs="仿宋_GB2312"/>
                <w:color w:val="000000"/>
                <w:sz w:val="24"/>
                <w:szCs w:val="24"/>
              </w:rPr>
              <w:t>2026</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2</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老城区</w:t>
            </w:r>
          </w:p>
        </w:tc>
        <w:tc>
          <w:tcPr>
            <w:tcW w:w="307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凤城中学运动场</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p>
        </w:tc>
        <w:tc>
          <w:tcPr>
            <w:tcW w:w="1231"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6800</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rPr>
            </w:pPr>
            <w:r>
              <w:rPr>
                <w:rFonts w:ascii="仿宋_GB2312" w:eastAsia="仿宋_GB2312" w:cs="仿宋_GB2312"/>
                <w:color w:val="000000"/>
                <w:sz w:val="24"/>
                <w:szCs w:val="24"/>
              </w:rPr>
              <w:t>2023</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3</w:t>
            </w:r>
          </w:p>
        </w:tc>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仿宋_GB2312" w:eastAsia="仿宋_GB2312" w:cs="Times New Roman"/>
                <w:color w:val="000000"/>
                <w:sz w:val="24"/>
                <w:szCs w:val="24"/>
              </w:rPr>
            </w:pPr>
            <w:r>
              <w:rPr>
                <w:rFonts w:hint="eastAsia" w:ascii="仿宋_GB2312" w:eastAsia="仿宋_GB2312" w:cs="仿宋_GB2312"/>
                <w:color w:val="000000"/>
                <w:sz w:val="24"/>
                <w:szCs w:val="24"/>
              </w:rPr>
              <w:t>建安片区</w:t>
            </w:r>
          </w:p>
        </w:tc>
        <w:tc>
          <w:tcPr>
            <w:tcW w:w="307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清溪学校</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72</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3600</w:t>
            </w:r>
          </w:p>
        </w:tc>
        <w:tc>
          <w:tcPr>
            <w:tcW w:w="1231"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30000</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rPr>
            </w:pPr>
            <w:r>
              <w:rPr>
                <w:rFonts w:ascii="仿宋_GB2312" w:eastAsia="仿宋_GB2312" w:cs="仿宋_GB2312"/>
                <w:color w:val="000000"/>
                <w:sz w:val="24"/>
                <w:szCs w:val="24"/>
              </w:rPr>
              <w:t>2024</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4</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城厢中学</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20</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1000</w:t>
            </w:r>
          </w:p>
        </w:tc>
        <w:tc>
          <w:tcPr>
            <w:tcW w:w="123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2000</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s="Times New Roman"/>
                <w:color w:val="000000"/>
                <w:sz w:val="30"/>
                <w:szCs w:val="30"/>
              </w:rPr>
            </w:pPr>
            <w:r>
              <w:rPr>
                <w:rFonts w:ascii="仿宋_GB2312" w:eastAsia="仿宋_GB2312" w:cs="仿宋_GB2312"/>
                <w:color w:val="000000"/>
                <w:sz w:val="24"/>
                <w:szCs w:val="24"/>
              </w:rPr>
              <w:t>2025</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5</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同美片区</w:t>
            </w:r>
          </w:p>
        </w:tc>
        <w:tc>
          <w:tcPr>
            <w:tcW w:w="307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同美片区中学</w:t>
            </w:r>
            <w:r>
              <w:rPr>
                <w:rFonts w:ascii="仿宋_GB2312" w:eastAsia="仿宋_GB2312" w:cs="仿宋_GB2312"/>
                <w:color w:val="000000"/>
                <w:sz w:val="24"/>
                <w:szCs w:val="24"/>
              </w:rPr>
              <w:t xml:space="preserve">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48</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2400</w:t>
            </w:r>
          </w:p>
        </w:tc>
        <w:tc>
          <w:tcPr>
            <w:tcW w:w="1231"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10000</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2026</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6</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德苑片区</w:t>
            </w:r>
          </w:p>
        </w:tc>
        <w:tc>
          <w:tcPr>
            <w:tcW w:w="307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光德中学扩建</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24</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1200</w:t>
            </w:r>
          </w:p>
        </w:tc>
        <w:tc>
          <w:tcPr>
            <w:tcW w:w="1231"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3500</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rPr>
            </w:pPr>
            <w:r>
              <w:rPr>
                <w:rFonts w:ascii="仿宋_GB2312" w:eastAsia="仿宋_GB2312" w:cs="仿宋_GB2312"/>
                <w:color w:val="000000"/>
                <w:sz w:val="24"/>
                <w:szCs w:val="24"/>
              </w:rPr>
              <w:t>2024</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7</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金谷镇</w:t>
            </w:r>
          </w:p>
        </w:tc>
        <w:tc>
          <w:tcPr>
            <w:tcW w:w="307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安溪九中迁建</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18</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900</w:t>
            </w:r>
          </w:p>
        </w:tc>
        <w:tc>
          <w:tcPr>
            <w:tcW w:w="1231"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3000</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rPr>
            </w:pPr>
            <w:r>
              <w:rPr>
                <w:rFonts w:ascii="仿宋_GB2312" w:eastAsia="仿宋_GB2312" w:cs="仿宋_GB2312"/>
                <w:color w:val="000000"/>
                <w:sz w:val="24"/>
                <w:szCs w:val="24"/>
              </w:rPr>
              <w:t>2023</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9"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合</w:t>
            </w:r>
            <w:r>
              <w:rPr>
                <w:rFonts w:ascii="仿宋_GB2312" w:eastAsia="仿宋_GB2312" w:cs="仿宋_GB2312"/>
                <w:b/>
                <w:bCs/>
                <w:color w:val="000000"/>
                <w:sz w:val="24"/>
                <w:szCs w:val="24"/>
              </w:rPr>
              <w:t xml:space="preserve">  </w:t>
            </w:r>
            <w:r>
              <w:rPr>
                <w:rFonts w:hint="eastAsia" w:ascii="仿宋_GB2312" w:eastAsia="仿宋_GB2312" w:cs="仿宋_GB2312"/>
                <w:b/>
                <w:bCs/>
                <w:color w:val="000000"/>
                <w:sz w:val="24"/>
                <w:szCs w:val="24"/>
              </w:rPr>
              <w:t>计</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s="Times New Roman"/>
                <w:b/>
                <w:bCs/>
                <w:color w:val="000000"/>
                <w:sz w:val="24"/>
                <w:szCs w:val="24"/>
              </w:rPr>
            </w:pPr>
            <w:r>
              <w:rPr>
                <w:rFonts w:ascii="仿宋_GB2312" w:eastAsia="仿宋_GB2312" w:cs="仿宋_GB2312"/>
                <w:b/>
                <w:bCs/>
                <w:color w:val="000000"/>
                <w:sz w:val="24"/>
                <w:szCs w:val="24"/>
              </w:rPr>
              <w:t>254</w:t>
            </w:r>
          </w:p>
        </w:tc>
        <w:tc>
          <w:tcPr>
            <w:tcW w:w="96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cs="Times New Roman"/>
                <w:b/>
                <w:bCs/>
                <w:color w:val="000000"/>
                <w:sz w:val="24"/>
                <w:szCs w:val="24"/>
              </w:rPr>
            </w:pPr>
            <w:r>
              <w:rPr>
                <w:rFonts w:ascii="仿宋_GB2312" w:eastAsia="仿宋_GB2312" w:cs="仿宋_GB2312"/>
                <w:b/>
                <w:bCs/>
                <w:color w:val="000000"/>
                <w:sz w:val="24"/>
                <w:szCs w:val="24"/>
              </w:rPr>
              <w:fldChar w:fldCharType="begin"/>
            </w:r>
            <w:r>
              <w:rPr>
                <w:rFonts w:ascii="仿宋_GB2312" w:eastAsia="仿宋_GB2312" w:cs="仿宋_GB2312"/>
                <w:b/>
                <w:bCs/>
                <w:color w:val="000000"/>
                <w:sz w:val="24"/>
                <w:szCs w:val="24"/>
              </w:rPr>
              <w:instrText xml:space="preserve"> =SUM(ABOVE) </w:instrText>
            </w:r>
            <w:r>
              <w:rPr>
                <w:rFonts w:ascii="仿宋_GB2312" w:eastAsia="仿宋_GB2312" w:cs="仿宋_GB2312"/>
                <w:b/>
                <w:bCs/>
                <w:color w:val="000000"/>
                <w:sz w:val="24"/>
                <w:szCs w:val="24"/>
              </w:rPr>
              <w:fldChar w:fldCharType="separate"/>
            </w:r>
            <w:r>
              <w:rPr>
                <w:rFonts w:ascii="仿宋_GB2312" w:eastAsia="仿宋_GB2312" w:cs="仿宋_GB2312"/>
                <w:b/>
                <w:bCs/>
                <w:color w:val="000000"/>
                <w:sz w:val="24"/>
                <w:szCs w:val="24"/>
              </w:rPr>
              <w:t>12700</w:t>
            </w:r>
            <w:r>
              <w:rPr>
                <w:rFonts w:ascii="仿宋_GB2312" w:eastAsia="仿宋_GB2312" w:cs="仿宋_GB2312"/>
                <w:b/>
                <w:bCs/>
                <w:color w:val="000000"/>
                <w:sz w:val="24"/>
                <w:szCs w:val="24"/>
              </w:rPr>
              <w:fldChar w:fldCharType="end"/>
            </w:r>
          </w:p>
        </w:tc>
        <w:tc>
          <w:tcPr>
            <w:tcW w:w="123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cs="Times New Roman"/>
                <w:b/>
                <w:bCs/>
                <w:color w:val="000000"/>
                <w:sz w:val="24"/>
                <w:szCs w:val="24"/>
              </w:rPr>
            </w:pPr>
            <w:r>
              <w:rPr>
                <w:rFonts w:ascii="仿宋_GB2312" w:eastAsia="仿宋_GB2312" w:cs="仿宋_GB2312"/>
                <w:b/>
                <w:bCs/>
                <w:color w:val="000000"/>
                <w:sz w:val="24"/>
                <w:szCs w:val="24"/>
              </w:rPr>
              <w:fldChar w:fldCharType="begin"/>
            </w:r>
            <w:r>
              <w:rPr>
                <w:rFonts w:ascii="仿宋_GB2312" w:eastAsia="仿宋_GB2312" w:cs="仿宋_GB2312"/>
                <w:b/>
                <w:bCs/>
                <w:color w:val="000000"/>
                <w:sz w:val="24"/>
                <w:szCs w:val="24"/>
              </w:rPr>
              <w:instrText xml:space="preserve"> =SUM(ABOVE) </w:instrText>
            </w:r>
            <w:r>
              <w:rPr>
                <w:rFonts w:ascii="仿宋_GB2312" w:eastAsia="仿宋_GB2312" w:cs="仿宋_GB2312"/>
                <w:b/>
                <w:bCs/>
                <w:color w:val="000000"/>
                <w:sz w:val="24"/>
                <w:szCs w:val="24"/>
              </w:rPr>
              <w:fldChar w:fldCharType="separate"/>
            </w:r>
            <w:r>
              <w:rPr>
                <w:rFonts w:ascii="仿宋_GB2312" w:eastAsia="仿宋_GB2312" w:cs="仿宋_GB2312"/>
                <w:b/>
                <w:bCs/>
                <w:color w:val="000000"/>
                <w:sz w:val="24"/>
                <w:szCs w:val="24"/>
              </w:rPr>
              <w:t>62000</w:t>
            </w:r>
            <w:r>
              <w:rPr>
                <w:rFonts w:ascii="仿宋_GB2312" w:eastAsia="仿宋_GB2312" w:cs="仿宋_GB2312"/>
                <w:b/>
                <w:bCs/>
                <w:color w:val="000000"/>
                <w:sz w:val="24"/>
                <w:szCs w:val="24"/>
              </w:rPr>
              <w:fldChar w:fldCharType="end"/>
            </w:r>
          </w:p>
        </w:tc>
        <w:tc>
          <w:tcPr>
            <w:tcW w:w="112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p>
        </w:tc>
      </w:tr>
    </w:tbl>
    <w:p>
      <w:pPr>
        <w:spacing w:before="156" w:beforeLines="50" w:after="156" w:afterLines="50" w:line="460" w:lineRule="exact"/>
        <w:ind w:firstLine="640"/>
        <w:jc w:val="center"/>
        <w:rPr>
          <w:rFonts w:ascii="黑体" w:hAnsi="黑体" w:eastAsia="黑体" w:cs="Times New Roman"/>
          <w:snapToGrid w:val="0"/>
          <w:color w:val="000000"/>
          <w:kern w:val="0"/>
          <w:sz w:val="28"/>
          <w:szCs w:val="28"/>
        </w:rPr>
      </w:pPr>
      <w:r>
        <w:rPr>
          <w:rFonts w:ascii="黑体" w:hAnsi="黑体" w:eastAsia="黑体" w:cs="黑体"/>
          <w:snapToGrid w:val="0"/>
          <w:color w:val="000000"/>
          <w:kern w:val="0"/>
          <w:sz w:val="28"/>
          <w:szCs w:val="28"/>
        </w:rPr>
        <w:t>4.</w:t>
      </w:r>
      <w:r>
        <w:rPr>
          <w:rFonts w:hint="eastAsia" w:ascii="黑体" w:hAnsi="黑体" w:eastAsia="黑体" w:cs="黑体"/>
          <w:snapToGrid w:val="0"/>
          <w:color w:val="000000"/>
          <w:kern w:val="0"/>
          <w:sz w:val="28"/>
          <w:szCs w:val="28"/>
        </w:rPr>
        <w:t>高中校项目</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277"/>
        <w:gridCol w:w="3074"/>
        <w:gridCol w:w="888"/>
        <w:gridCol w:w="963"/>
        <w:gridCol w:w="1231"/>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序号</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乡镇</w:t>
            </w:r>
          </w:p>
        </w:tc>
        <w:tc>
          <w:tcPr>
            <w:tcW w:w="307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建</w:t>
            </w:r>
            <w:r>
              <w:rPr>
                <w:rFonts w:ascii="仿宋_GB2312" w:eastAsia="仿宋_GB2312" w:cs="仿宋_GB2312"/>
                <w:b/>
                <w:bCs/>
                <w:color w:val="000000"/>
                <w:sz w:val="24"/>
                <w:szCs w:val="24"/>
              </w:rPr>
              <w:t xml:space="preserve"> </w:t>
            </w:r>
            <w:r>
              <w:rPr>
                <w:rFonts w:hint="eastAsia" w:ascii="仿宋_GB2312" w:eastAsia="仿宋_GB2312" w:cs="仿宋_GB2312"/>
                <w:b/>
                <w:bCs/>
                <w:color w:val="000000"/>
                <w:sz w:val="24"/>
                <w:szCs w:val="24"/>
              </w:rPr>
              <w:t>设</w:t>
            </w:r>
            <w:r>
              <w:rPr>
                <w:rFonts w:ascii="仿宋_GB2312" w:eastAsia="仿宋_GB2312" w:cs="仿宋_GB2312"/>
                <w:b/>
                <w:bCs/>
                <w:color w:val="000000"/>
                <w:sz w:val="24"/>
                <w:szCs w:val="24"/>
              </w:rPr>
              <w:t xml:space="preserve"> </w:t>
            </w:r>
            <w:r>
              <w:rPr>
                <w:rFonts w:hint="eastAsia" w:ascii="仿宋_GB2312" w:eastAsia="仿宋_GB2312" w:cs="仿宋_GB2312"/>
                <w:b/>
                <w:bCs/>
                <w:color w:val="000000"/>
                <w:sz w:val="24"/>
                <w:szCs w:val="24"/>
              </w:rPr>
              <w:t>项</w:t>
            </w:r>
            <w:r>
              <w:rPr>
                <w:rFonts w:ascii="仿宋_GB2312" w:eastAsia="仿宋_GB2312" w:cs="仿宋_GB2312"/>
                <w:b/>
                <w:bCs/>
                <w:color w:val="000000"/>
                <w:sz w:val="24"/>
                <w:szCs w:val="24"/>
              </w:rPr>
              <w:t xml:space="preserve"> </w:t>
            </w:r>
            <w:r>
              <w:rPr>
                <w:rFonts w:hint="eastAsia" w:ascii="仿宋_GB2312" w:eastAsia="仿宋_GB2312" w:cs="仿宋_GB2312"/>
                <w:b/>
                <w:bCs/>
                <w:color w:val="000000"/>
                <w:sz w:val="24"/>
                <w:szCs w:val="24"/>
              </w:rPr>
              <w:t>目</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班级</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学位</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投资额</w:t>
            </w:r>
          </w:p>
          <w:p>
            <w:pPr>
              <w:spacing w:line="460" w:lineRule="exact"/>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（万元）</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投用</w:t>
            </w:r>
          </w:p>
          <w:p>
            <w:pPr>
              <w:spacing w:line="460" w:lineRule="exact"/>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1</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参内镇</w:t>
            </w:r>
          </w:p>
        </w:tc>
        <w:tc>
          <w:tcPr>
            <w:tcW w:w="307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一中城东校区扩建</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48</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2400</w:t>
            </w:r>
          </w:p>
        </w:tc>
        <w:tc>
          <w:tcPr>
            <w:tcW w:w="1231"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3500</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2023</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2</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城厢镇</w:t>
            </w:r>
          </w:p>
        </w:tc>
        <w:tc>
          <w:tcPr>
            <w:tcW w:w="307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金火完中二期工程</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24</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1200</w:t>
            </w:r>
          </w:p>
        </w:tc>
        <w:tc>
          <w:tcPr>
            <w:tcW w:w="1231"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10000</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2024</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3</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湖头镇</w:t>
            </w:r>
          </w:p>
        </w:tc>
        <w:tc>
          <w:tcPr>
            <w:tcW w:w="307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俊民中学扩建</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14</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700</w:t>
            </w:r>
          </w:p>
        </w:tc>
        <w:tc>
          <w:tcPr>
            <w:tcW w:w="1231"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1200</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2024</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4</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官桥镇</w:t>
            </w:r>
          </w:p>
        </w:tc>
        <w:tc>
          <w:tcPr>
            <w:tcW w:w="307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蓝溪中学扩建</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24</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1200</w:t>
            </w:r>
          </w:p>
        </w:tc>
        <w:tc>
          <w:tcPr>
            <w:tcW w:w="1231"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2000</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2024</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5</w:t>
            </w:r>
          </w:p>
        </w:tc>
        <w:tc>
          <w:tcPr>
            <w:tcW w:w="12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龙门镇</w:t>
            </w:r>
          </w:p>
        </w:tc>
        <w:tc>
          <w:tcPr>
            <w:tcW w:w="307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龙门中学扩建</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21</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1050</w:t>
            </w:r>
          </w:p>
        </w:tc>
        <w:tc>
          <w:tcPr>
            <w:tcW w:w="1231"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1800</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2023</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6</w:t>
            </w:r>
          </w:p>
        </w:tc>
        <w:tc>
          <w:tcPr>
            <w:tcW w:w="12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p>
        </w:tc>
        <w:tc>
          <w:tcPr>
            <w:tcW w:w="307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安溪培文中学艺术楼</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5000</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2023</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7</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长卿镇</w:t>
            </w:r>
          </w:p>
        </w:tc>
        <w:tc>
          <w:tcPr>
            <w:tcW w:w="307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崇德中学宿舍楼及新大门</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仿宋_GB2312"/>
                <w:color w:val="000000"/>
                <w:sz w:val="24"/>
                <w:szCs w:val="24"/>
              </w:rPr>
            </w:pPr>
            <w:r>
              <w:rPr>
                <w:rFonts w:ascii="仿宋_GB2312" w:eastAsia="仿宋_GB2312" w:cs="仿宋_GB2312"/>
                <w:color w:val="000000"/>
                <w:sz w:val="24"/>
                <w:szCs w:val="24"/>
              </w:rPr>
              <w:t>2300</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2025</w:t>
            </w:r>
            <w:r>
              <w:rPr>
                <w:rFonts w:hint="eastAsia" w:asci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9"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合</w:t>
            </w:r>
            <w:r>
              <w:rPr>
                <w:rFonts w:ascii="仿宋_GB2312" w:eastAsia="仿宋_GB2312" w:cs="仿宋_GB2312"/>
                <w:b/>
                <w:bCs/>
                <w:color w:val="000000"/>
                <w:sz w:val="24"/>
                <w:szCs w:val="24"/>
              </w:rPr>
              <w:t xml:space="preserve">  </w:t>
            </w:r>
            <w:r>
              <w:rPr>
                <w:rFonts w:hint="eastAsia" w:ascii="仿宋_GB2312" w:eastAsia="仿宋_GB2312" w:cs="仿宋_GB2312"/>
                <w:b/>
                <w:bCs/>
                <w:color w:val="000000"/>
                <w:sz w:val="24"/>
                <w:szCs w:val="24"/>
              </w:rPr>
              <w:t>计</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b/>
                <w:bCs/>
                <w:color w:val="000000"/>
                <w:sz w:val="24"/>
                <w:szCs w:val="24"/>
              </w:rPr>
            </w:pPr>
            <w:r>
              <w:rPr>
                <w:rFonts w:ascii="仿宋_GB2312" w:eastAsia="仿宋_GB2312" w:cs="仿宋_GB2312"/>
                <w:b/>
                <w:bCs/>
                <w:color w:val="000000"/>
                <w:sz w:val="24"/>
                <w:szCs w:val="24"/>
              </w:rPr>
              <w:fldChar w:fldCharType="begin"/>
            </w:r>
            <w:r>
              <w:rPr>
                <w:rFonts w:ascii="仿宋_GB2312" w:eastAsia="仿宋_GB2312" w:cs="仿宋_GB2312"/>
                <w:b/>
                <w:bCs/>
                <w:color w:val="000000"/>
                <w:sz w:val="24"/>
                <w:szCs w:val="24"/>
              </w:rPr>
              <w:instrText xml:space="preserve"> =SUM(ABOVE) </w:instrText>
            </w:r>
            <w:r>
              <w:rPr>
                <w:rFonts w:ascii="仿宋_GB2312" w:eastAsia="仿宋_GB2312" w:cs="仿宋_GB2312"/>
                <w:b/>
                <w:bCs/>
                <w:color w:val="000000"/>
                <w:sz w:val="24"/>
                <w:szCs w:val="24"/>
              </w:rPr>
              <w:fldChar w:fldCharType="separate"/>
            </w:r>
            <w:r>
              <w:rPr>
                <w:rFonts w:ascii="仿宋_GB2312" w:eastAsia="仿宋_GB2312" w:cs="仿宋_GB2312"/>
                <w:b/>
                <w:bCs/>
                <w:color w:val="000000"/>
                <w:sz w:val="24"/>
                <w:szCs w:val="24"/>
              </w:rPr>
              <w:t>131</w:t>
            </w:r>
            <w:r>
              <w:rPr>
                <w:rFonts w:ascii="仿宋_GB2312" w:eastAsia="仿宋_GB2312" w:cs="仿宋_GB2312"/>
                <w:b/>
                <w:bCs/>
                <w:color w:val="000000"/>
                <w:sz w:val="24"/>
                <w:szCs w:val="24"/>
              </w:rPr>
              <w:fldChar w:fldCharType="end"/>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b/>
                <w:bCs/>
                <w:color w:val="000000"/>
                <w:sz w:val="24"/>
                <w:szCs w:val="24"/>
              </w:rPr>
            </w:pPr>
            <w:r>
              <w:rPr>
                <w:rFonts w:ascii="仿宋_GB2312" w:eastAsia="仿宋_GB2312" w:cs="仿宋_GB2312"/>
                <w:b/>
                <w:bCs/>
                <w:color w:val="000000"/>
                <w:sz w:val="24"/>
                <w:szCs w:val="24"/>
              </w:rPr>
              <w:fldChar w:fldCharType="begin"/>
            </w:r>
            <w:r>
              <w:rPr>
                <w:rFonts w:ascii="仿宋_GB2312" w:eastAsia="仿宋_GB2312" w:cs="仿宋_GB2312"/>
                <w:b/>
                <w:bCs/>
                <w:color w:val="000000"/>
                <w:sz w:val="24"/>
                <w:szCs w:val="24"/>
              </w:rPr>
              <w:instrText xml:space="preserve"> =SUM(ABOVE) </w:instrText>
            </w:r>
            <w:r>
              <w:rPr>
                <w:rFonts w:ascii="仿宋_GB2312" w:eastAsia="仿宋_GB2312" w:cs="仿宋_GB2312"/>
                <w:b/>
                <w:bCs/>
                <w:color w:val="000000"/>
                <w:sz w:val="24"/>
                <w:szCs w:val="24"/>
              </w:rPr>
              <w:fldChar w:fldCharType="separate"/>
            </w:r>
            <w:r>
              <w:rPr>
                <w:rFonts w:ascii="仿宋_GB2312" w:eastAsia="仿宋_GB2312" w:cs="仿宋_GB2312"/>
                <w:b/>
                <w:bCs/>
                <w:color w:val="000000"/>
                <w:sz w:val="24"/>
                <w:szCs w:val="24"/>
              </w:rPr>
              <w:t>6550</w:t>
            </w:r>
            <w:r>
              <w:rPr>
                <w:rFonts w:ascii="仿宋_GB2312" w:eastAsia="仿宋_GB2312" w:cs="仿宋_GB2312"/>
                <w:b/>
                <w:bCs/>
                <w:color w:val="000000"/>
                <w:sz w:val="24"/>
                <w:szCs w:val="24"/>
              </w:rPr>
              <w:fldChar w:fldCharType="end"/>
            </w:r>
          </w:p>
        </w:tc>
        <w:tc>
          <w:tcPr>
            <w:tcW w:w="1231"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s="Times New Roman"/>
                <w:b/>
                <w:bCs/>
                <w:color w:val="000000"/>
                <w:sz w:val="24"/>
                <w:szCs w:val="24"/>
              </w:rPr>
            </w:pPr>
            <w:r>
              <w:rPr>
                <w:rFonts w:ascii="仿宋_GB2312" w:eastAsia="仿宋_GB2312" w:cs="仿宋_GB2312"/>
                <w:b/>
                <w:bCs/>
                <w:color w:val="000000"/>
                <w:sz w:val="24"/>
                <w:szCs w:val="24"/>
              </w:rPr>
              <w:t>25800</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eastAsia="仿宋_GB2312" w:cs="Times New Roman"/>
                <w:b/>
                <w:bCs/>
                <w:color w:val="000000"/>
                <w:sz w:val="24"/>
                <w:szCs w:val="24"/>
              </w:rPr>
            </w:pPr>
          </w:p>
        </w:tc>
      </w:tr>
    </w:tbl>
    <w:p>
      <w:pPr>
        <w:spacing w:line="460" w:lineRule="exact"/>
        <w:ind w:left="840" w:hanging="840" w:hangingChars="400"/>
        <w:rPr>
          <w:rFonts w:cs="Times New Roman"/>
          <w:color w:val="000000"/>
        </w:rPr>
      </w:pPr>
    </w:p>
    <w:p>
      <w:pPr>
        <w:pStyle w:val="2"/>
        <w:sectPr>
          <w:footerReference r:id="rId5" w:type="default"/>
          <w:pgSz w:w="11906" w:h="16838"/>
          <w:pgMar w:top="1417" w:right="1474" w:bottom="1417" w:left="1587" w:header="851" w:footer="992" w:gutter="0"/>
          <w:pgNumType w:fmt="decimal"/>
          <w:cols w:space="425" w:num="1"/>
          <w:docGrid w:type="lines" w:linePitch="312" w:charSpace="0"/>
        </w:sect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keepNext w:val="0"/>
        <w:keepLines w:val="0"/>
        <w:pageBreakBefore w:val="0"/>
        <w:widowControl w:val="0"/>
        <w:pBdr>
          <w:bottom w:val="single" w:color="auto" w:sz="4" w:space="0"/>
        </w:pBdr>
        <w:kinsoku/>
        <w:wordWrap/>
        <w:overflowPunct/>
        <w:topLinePunct w:val="0"/>
        <w:autoSpaceDE/>
        <w:autoSpaceDN/>
        <w:bidi w:val="0"/>
        <w:adjustRightInd w:val="0"/>
        <w:snapToGrid w:val="0"/>
        <w:spacing w:line="600" w:lineRule="exact"/>
        <w:ind w:firstLine="280" w:firstLineChars="100"/>
        <w:textAlignment w:val="auto"/>
        <w:rPr>
          <w:rFonts w:hint="default" w:ascii="仿宋_GB2312" w:hAnsi="仿宋_GB2312" w:eastAsia="仿宋_GB2312" w:cs="仿宋_GB2312"/>
          <w:sz w:val="18"/>
          <w:szCs w:val="1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10795</wp:posOffset>
                </wp:positionV>
                <wp:extent cx="56388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3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pt;margin-top:0.85pt;height:0pt;width:444pt;z-index:251659264;mso-width-relative:page;mso-height-relative:page;" filled="f" stroked="t" coordsize="21600,21600" o:gfxdata="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6lc4O0QAAAAUBAAAPAAAA&#10;AAAAAAEAIAAAACIAAABkcnMvZG93bnJldi54bWxQSwECFAAUAAAACACHTuJAOu5fX+MBAACxAwAA&#10;DgAAAAAAAAABACAAAAAgAQAAZHJzL2Uyb0RvYy54bWxQSwUGAAAAAAYABgBZAQAAdQU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color w:val="auto"/>
          <w:sz w:val="28"/>
          <w:szCs w:val="28"/>
          <w:highlight w:val="none"/>
          <w:u w:val="none"/>
          <w:lang w:val="en-US" w:eastAsia="zh-CN"/>
        </w:rPr>
        <w:t>安溪县人民政府办公室                    2023年1月19日印发</w:t>
      </w:r>
    </w:p>
    <w:sectPr>
      <w:footerReference r:id="rId6" w:type="default"/>
      <w:pgSz w:w="11906" w:h="16838"/>
      <w:pgMar w:top="1417" w:right="1474"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3"/>
        <w:rFonts w:ascii="宋体" w:hAnsi="宋体"/>
        <w:sz w:val="28"/>
        <w:szCs w:val="28"/>
      </w:rPr>
    </w:pPr>
    <w:r>
      <w:rPr>
        <w:rStyle w:val="13"/>
        <w:rFonts w:hint="eastAsia" w:ascii="宋体" w:hAnsi="宋体"/>
        <w:sz w:val="28"/>
        <w:szCs w:val="28"/>
      </w:rPr>
      <w:t xml:space="preserve">— </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- 2 -</w:t>
    </w:r>
    <w:r>
      <w:rPr>
        <w:rStyle w:val="13"/>
        <w:rFonts w:ascii="宋体" w:hAnsi="宋体"/>
        <w:sz w:val="28"/>
        <w:szCs w:val="28"/>
      </w:rPr>
      <w:fldChar w:fldCharType="end"/>
    </w:r>
    <w:r>
      <w:rPr>
        <w:rStyle w:val="13"/>
        <w:rFonts w:hint="eastAsia" w:ascii="宋体" w:hAnsi="宋体"/>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4ADB5"/>
    <w:multiLevelType w:val="singleLevel"/>
    <w:tmpl w:val="6394ADB5"/>
    <w:lvl w:ilvl="0" w:tentative="0">
      <w:start w:val="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92A1C"/>
    <w:rsid w:val="00122F4D"/>
    <w:rsid w:val="027138DF"/>
    <w:rsid w:val="045B7898"/>
    <w:rsid w:val="07EF5B78"/>
    <w:rsid w:val="0BBD582B"/>
    <w:rsid w:val="0DE33899"/>
    <w:rsid w:val="11DC6D1A"/>
    <w:rsid w:val="12CA7DDB"/>
    <w:rsid w:val="1AE001B7"/>
    <w:rsid w:val="1E4C6CCD"/>
    <w:rsid w:val="1ED004BF"/>
    <w:rsid w:val="1EFF1431"/>
    <w:rsid w:val="201804CF"/>
    <w:rsid w:val="212C7AF1"/>
    <w:rsid w:val="23CD5F0F"/>
    <w:rsid w:val="23D01C19"/>
    <w:rsid w:val="265818B5"/>
    <w:rsid w:val="273921F7"/>
    <w:rsid w:val="2A9629E5"/>
    <w:rsid w:val="2AA95286"/>
    <w:rsid w:val="2B5B221A"/>
    <w:rsid w:val="2D862387"/>
    <w:rsid w:val="2F256DAA"/>
    <w:rsid w:val="309864C3"/>
    <w:rsid w:val="31DD118E"/>
    <w:rsid w:val="3A921281"/>
    <w:rsid w:val="3B0F6889"/>
    <w:rsid w:val="3FE92A1C"/>
    <w:rsid w:val="40832E14"/>
    <w:rsid w:val="42076AC0"/>
    <w:rsid w:val="4E0B0F2B"/>
    <w:rsid w:val="505568EB"/>
    <w:rsid w:val="51CE3EA4"/>
    <w:rsid w:val="53071EA5"/>
    <w:rsid w:val="5CAC5964"/>
    <w:rsid w:val="5EF7448B"/>
    <w:rsid w:val="5F590E01"/>
    <w:rsid w:val="616F3752"/>
    <w:rsid w:val="635C5A4C"/>
    <w:rsid w:val="66A77D8F"/>
    <w:rsid w:val="67424A1C"/>
    <w:rsid w:val="67FB4551"/>
    <w:rsid w:val="6E016D7D"/>
    <w:rsid w:val="6F9A4F3D"/>
    <w:rsid w:val="700910B8"/>
    <w:rsid w:val="73132E42"/>
    <w:rsid w:val="75F87740"/>
    <w:rsid w:val="7D082031"/>
    <w:rsid w:val="7EC22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link w:val="12"/>
    <w:semiHidden/>
    <w:qFormat/>
    <w:uiPriority w:val="0"/>
    <w:rPr>
      <w:rFonts w:ascii="Times New Roman" w:hAnsi="Times New Roman" w:cs="Times New Roman"/>
      <w:szCs w:val="24"/>
    </w:rPr>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Acetate"/>
    <w:basedOn w:val="1"/>
    <w:qFormat/>
    <w:uiPriority w:val="0"/>
    <w:rPr>
      <w:rFonts w:ascii="Times New Roman" w:hAnsi="Times New Roman" w:cs="Times New Roman"/>
      <w:sz w:val="18"/>
      <w:szCs w:val="18"/>
    </w:rPr>
  </w:style>
  <w:style w:type="paragraph" w:styleId="3">
    <w:name w:val="Normal Indent"/>
    <w:basedOn w:val="1"/>
    <w:qFormat/>
    <w:uiPriority w:val="0"/>
    <w:pPr>
      <w:ind w:firstLine="420" w:firstLineChars="200"/>
    </w:pPr>
    <w:rPr>
      <w:rFonts w:ascii="仿宋_GB2312" w:hAnsi="Times New Roman" w:eastAsia="仿宋" w:cs="仿宋_GB2312"/>
      <w:sz w:val="32"/>
      <w:szCs w:val="32"/>
    </w:r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kern w:val="0"/>
      <w:sz w:val="24"/>
      <w:szCs w:val="24"/>
    </w:rPr>
  </w:style>
  <w:style w:type="paragraph" w:styleId="8">
    <w:name w:val="Body Text First Indent"/>
    <w:basedOn w:val="4"/>
    <w:qFormat/>
    <w:uiPriority w:val="0"/>
    <w:pPr>
      <w:spacing w:line="640" w:lineRule="exact"/>
      <w:ind w:firstLine="420" w:firstLineChars="100"/>
    </w:pPr>
    <w:rPr>
      <w:kern w:val="0"/>
      <w:sz w:val="20"/>
      <w:szCs w:val="20"/>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Char Char Char Char Char Char Char Char Char Char Char Char Char Char Char Char Char Char Char Char Char"/>
    <w:basedOn w:val="1"/>
    <w:link w:val="11"/>
    <w:qFormat/>
    <w:uiPriority w:val="0"/>
    <w:pPr>
      <w:spacing w:line="360" w:lineRule="auto"/>
      <w:ind w:firstLine="200" w:firstLineChars="200"/>
    </w:pPr>
  </w:style>
  <w:style w:type="character" w:styleId="13">
    <w:name w:val="page number"/>
    <w:basedOn w:val="11"/>
    <w:qFormat/>
    <w:uiPriority w:val="0"/>
  </w:style>
  <w:style w:type="paragraph" w:customStyle="1" w:styleId="14">
    <w:name w:val="Char Char Char Char Char Char"/>
    <w:basedOn w:val="1"/>
    <w:link w:val="11"/>
    <w:qFormat/>
    <w:uiPriority w:val="0"/>
    <w:rPr>
      <w:rFonts w:ascii="Times New Roman" w:hAnsi="Times New Roman" w:cs="Times New Roman"/>
      <w:szCs w:val="24"/>
    </w:rPr>
  </w:style>
  <w:style w:type="paragraph" w:customStyle="1" w:styleId="15">
    <w:name w:val="Heading3"/>
    <w:basedOn w:val="1"/>
    <w:next w:val="1"/>
    <w:qFormat/>
    <w:uiPriority w:val="0"/>
    <w:pPr>
      <w:keepNext/>
      <w:keepLines/>
    </w:pPr>
    <w:rPr>
      <w:rFonts w:ascii="Calibri" w:hAnsi="Calibri" w:eastAsia="宋体" w:cs="Times New Roman"/>
      <w:b/>
      <w:bCs/>
      <w:sz w:val="32"/>
      <w:szCs w:val="32"/>
    </w:rPr>
  </w:style>
  <w:style w:type="character" w:customStyle="1" w:styleId="16">
    <w:name w:val="font01"/>
    <w:basedOn w:val="11"/>
    <w:qFormat/>
    <w:uiPriority w:val="0"/>
    <w:rPr>
      <w:rFonts w:hint="eastAsia" w:ascii="宋体" w:hAnsi="宋体" w:eastAsia="宋体" w:cs="宋体"/>
      <w:color w:val="000000"/>
      <w:sz w:val="22"/>
      <w:szCs w:val="22"/>
      <w:u w:val="none"/>
    </w:rPr>
  </w:style>
  <w:style w:type="character" w:customStyle="1" w:styleId="17">
    <w:name w:val="font5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2021-09-22T08:21:00Z</dcterms:created>
  <dc:creator>Administrator</dc:creator>
  <cp:lastModifiedBy>10040517</cp:lastModifiedBy>
  <cp:lastPrinted>2023-04-03T01:15:08Z</cp:lastPrinted>
  <dcterms:modified xsi:type="dcterms:W3CDTF">2023-04-03T01:17:55Z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6DCA4D2F8B4E4C8B89D4C2F1276AA4D3</vt:lpwstr>
  </property>
</Properties>
</file>