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pacing w:val="-20"/>
          <w:sz w:val="40"/>
          <w:szCs w:val="40"/>
          <w:lang w:val="en-US" w:eastAsia="zh-CN"/>
        </w:rPr>
      </w:pPr>
      <w:r>
        <w:rPr>
          <w:rFonts w:hint="eastAsia" w:eastAsiaTheme="minorEastAsia"/>
          <w:b/>
          <w:bCs/>
          <w:spacing w:val="-20"/>
          <w:sz w:val="40"/>
          <w:szCs w:val="40"/>
          <w:lang w:eastAsia="zh-CN"/>
        </w:rPr>
        <w:t>安溪县安监局</w:t>
      </w:r>
      <w:r>
        <w:rPr>
          <w:rFonts w:hint="eastAsia" w:eastAsiaTheme="minorEastAsia"/>
          <w:b/>
          <w:bCs/>
          <w:spacing w:val="-20"/>
          <w:sz w:val="40"/>
          <w:szCs w:val="40"/>
          <w:lang w:val="en-US" w:eastAsia="zh-CN"/>
        </w:rPr>
        <w:t>201</w:t>
      </w:r>
      <w:r>
        <w:rPr>
          <w:rFonts w:hint="eastAsia"/>
          <w:b/>
          <w:bCs/>
          <w:spacing w:val="-20"/>
          <w:sz w:val="40"/>
          <w:szCs w:val="40"/>
          <w:lang w:val="en-US" w:eastAsia="zh-CN"/>
        </w:rPr>
        <w:t>1</w:t>
      </w:r>
      <w:r>
        <w:rPr>
          <w:rFonts w:hint="eastAsia" w:eastAsiaTheme="minorEastAsia"/>
          <w:b/>
          <w:bCs/>
          <w:spacing w:val="-20"/>
          <w:sz w:val="40"/>
          <w:szCs w:val="40"/>
          <w:lang w:val="en-US" w:eastAsia="zh-CN"/>
        </w:rPr>
        <w:t>年政府信息公开工作年度报告</w:t>
      </w:r>
    </w:p>
    <w:p>
      <w:pPr>
        <w:tabs>
          <w:tab w:val="left" w:pos="3013"/>
        </w:tabs>
        <w:jc w:val="left"/>
        <w:rPr>
          <w:rFonts w:hint="eastAsia" w:cstheme="minorBidi"/>
          <w:b/>
          <w:bCs/>
          <w:spacing w:val="-20"/>
          <w:kern w:val="2"/>
          <w:sz w:val="40"/>
          <w:szCs w:val="40"/>
          <w:lang w:val="en-US" w:eastAsia="zh-CN" w:bidi="ar-SA"/>
        </w:rPr>
      </w:pPr>
      <w:r>
        <w:rPr>
          <w:rFonts w:hint="eastAsia" w:cstheme="minorBidi"/>
          <w:b/>
          <w:bCs/>
          <w:spacing w:val="-20"/>
          <w:kern w:val="2"/>
          <w:sz w:val="40"/>
          <w:szCs w:val="40"/>
          <w:lang w:val="en-US" w:eastAsia="zh-CN" w:bidi="ar-SA"/>
        </w:rPr>
        <w:tab/>
      </w:r>
    </w:p>
    <w:p>
      <w:pPr>
        <w:tabs>
          <w:tab w:val="left" w:pos="3013"/>
        </w:tabs>
        <w:ind w:firstLine="640" w:firstLineChars="200"/>
        <w:jc w:val="left"/>
        <w:rPr>
          <w:rFonts w:hint="eastAsia" w:ascii="黑体" w:hAnsi="黑体" w:eastAsia="黑体" w:cs="黑体"/>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根据《中华人民共和国政府信息公开条例》（以下简称《条例》）和《福建省政府信息公开办法》规定，以及县政府关于政府信息公开工作的要求，结合我局实际，编制了2011年政府信息公开工作年度报告。报告主要内容由概述，主动公开政府信息情况，依申请公开政府信息情况，政府信息公开收费及减免情况，投诉、行政复议、行政诉讼情况，政府信息公开工作存在的主要问题及改进措施和需要说明的其他事项与附表七部分组成</w:t>
      </w:r>
      <w:bookmarkStart w:id="0" w:name="_GoBack"/>
      <w:bookmarkEnd w:id="0"/>
      <w:r>
        <w:rPr>
          <w:rFonts w:hint="eastAsia" w:ascii="仿宋" w:hAnsi="仿宋" w:eastAsia="仿宋" w:cs="仿宋"/>
          <w:b w:val="0"/>
          <w:i w:val="0"/>
          <w:caps w:val="0"/>
          <w:color w:val="444444"/>
          <w:spacing w:val="0"/>
          <w:sz w:val="32"/>
          <w:szCs w:val="32"/>
          <w:shd w:val="clear" w:fill="FFFFFF"/>
          <w:lang w:val="en-US" w:eastAsia="zh-CN"/>
        </w:rPr>
        <w:t>。统计数据的时限为2011年1月1日至2011年12月31日。本报告公布于安溪县人民政府（www.fjax.gov.cn）。如对本报告有任何疑问，请联系：安溪县安全生产监督管理局办公室，联系电话0595-23281919。现将我局2011年政府信息公开工作情况报告如下:</w:t>
      </w:r>
      <w:r>
        <w:rPr>
          <w:rFonts w:hint="eastAsia" w:ascii="仿宋" w:hAnsi="仿宋" w:eastAsia="仿宋" w:cs="仿宋"/>
          <w:b w:val="0"/>
          <w:i w:val="0"/>
          <w:caps w:val="0"/>
          <w:color w:val="444444"/>
          <w:spacing w:val="0"/>
          <w:sz w:val="32"/>
          <w:szCs w:val="32"/>
          <w:shd w:val="clear" w:fill="FFFFFF"/>
          <w:lang w:val="en-US" w:eastAsia="zh-CN"/>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sz w:val="32"/>
          <w:szCs w:val="32"/>
          <w:shd w:val="clear" w:fill="FFFFFF"/>
          <w:lang w:val="en-US" w:eastAsia="zh-CN"/>
        </w:rPr>
        <w:t xml:space="preserve"> 一、概述</w:t>
      </w:r>
    </w:p>
    <w:p>
      <w:pPr>
        <w:tabs>
          <w:tab w:val="left" w:pos="79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推进政府信息公开是转变政府职能、提高服务效率、提升政府形象的一个重要举措，贯彻实施《中华人民共和国政府信息公开条例》，对于建立公正透明的行政管理体制，保障公民、法人和其他组织的知情权利，监督政府依法行政具有十分重要的意义。一年来，在县委、县政府的正确领导下，全面落实《中华人民共和国政府信息公开条例》，坚持把政务公开工作作为加强党风廉政建设，规范行业作风，促进依法行政的重要举措来抓，政府信息工作取得了一些成绩。</w:t>
      </w:r>
    </w:p>
    <w:p>
      <w:pPr>
        <w:tabs>
          <w:tab w:val="left" w:pos="79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二、主动公开政府信息情况</w:t>
      </w:r>
    </w:p>
    <w:p>
      <w:pPr>
        <w:tabs>
          <w:tab w:val="left" w:pos="703"/>
        </w:tabs>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201</w:t>
      </w:r>
      <w:r>
        <w:rPr>
          <w:rFonts w:hint="eastAsia" w:ascii="仿宋" w:hAnsi="仿宋" w:eastAsia="仿宋" w:cs="仿宋"/>
          <w:b w:val="0"/>
          <w:i w:val="0"/>
          <w:caps w:val="0"/>
          <w:color w:val="444444"/>
          <w:spacing w:val="0"/>
          <w:sz w:val="32"/>
          <w:szCs w:val="32"/>
          <w:shd w:val="clear" w:fill="FFFFFF"/>
          <w:lang w:val="en-US" w:eastAsia="zh-CN"/>
        </w:rPr>
        <w:t>1</w:t>
      </w:r>
      <w:r>
        <w:rPr>
          <w:rFonts w:hint="eastAsia" w:ascii="仿宋" w:hAnsi="仿宋" w:eastAsia="仿宋" w:cs="仿宋"/>
          <w:b w:val="0"/>
          <w:i w:val="0"/>
          <w:caps w:val="0"/>
          <w:color w:val="444444"/>
          <w:spacing w:val="0"/>
          <w:sz w:val="32"/>
          <w:szCs w:val="32"/>
          <w:shd w:val="clear" w:fill="FFFFFF"/>
        </w:rPr>
        <w:t>年，县安监局除了在网站上发布信息外，还通过网站向外提供法律法规、非煤矿山、危险化学品等安全许可、企业行业标准等丰富的数据库信息；链接了多家上级部门、各地安监网站。</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 xml:space="preserve"> 三、依申请公开政府信息情况</w:t>
      </w:r>
    </w:p>
    <w:p>
      <w:pPr>
        <w:tabs>
          <w:tab w:val="left" w:pos="613"/>
        </w:tabs>
        <w:jc w:val="left"/>
        <w:rPr>
          <w:rFonts w:hint="eastAsia" w:ascii="仿宋" w:hAnsi="仿宋" w:eastAsia="仿宋" w:cs="仿宋"/>
          <w:b w:val="0"/>
          <w:i w:val="0"/>
          <w:caps w:val="0"/>
          <w:color w:val="444444"/>
          <w:spacing w:val="0"/>
          <w:sz w:val="32"/>
          <w:szCs w:val="32"/>
          <w:shd w:val="clear" w:fill="FFFFFF"/>
        </w:rPr>
      </w:pPr>
      <w:r>
        <w:rPr>
          <w:rFonts w:hint="eastAsia" w:ascii="仿宋" w:hAnsi="仿宋" w:eastAsia="仿宋" w:cs="仿宋"/>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全年未接到政府信息公开申请。</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四、政府信息公开的收费及减免情况</w:t>
      </w:r>
    </w:p>
    <w:p>
      <w:pPr>
        <w:tabs>
          <w:tab w:val="left" w:pos="688"/>
        </w:tabs>
        <w:jc w:val="left"/>
        <w:rPr>
          <w:rFonts w:hint="eastAsia" w:ascii="仿宋" w:hAnsi="仿宋" w:eastAsia="仿宋" w:cs="仿宋"/>
          <w:b w:val="0"/>
          <w:i w:val="0"/>
          <w:caps w:val="0"/>
          <w:color w:val="444444"/>
          <w:spacing w:val="0"/>
          <w:sz w:val="32"/>
          <w:szCs w:val="32"/>
          <w:shd w:val="clear" w:fill="FFFFFF"/>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我局无政府信息公开收费。</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五、投诉、行政复议、行政诉讼情况</w:t>
      </w:r>
    </w:p>
    <w:p>
      <w:pPr>
        <w:tabs>
          <w:tab w:val="left" w:pos="73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rPr>
        <w:t>全年未发生针对我局有关政府信息公开事务的行政复议案；未发生针对我局有关政府信息公开事务的行政诉讼案；未收到针对我局政府信息公开事务有关的申诉案。</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六、主要问题及改进措施</w:t>
      </w:r>
    </w:p>
    <w:p>
      <w:pPr>
        <w:tabs>
          <w:tab w:val="left" w:pos="733"/>
        </w:tabs>
        <w:ind w:firstLine="320" w:firstLineChars="100"/>
        <w:jc w:val="left"/>
        <w:rPr>
          <w:rFonts w:hint="eastAsia" w:ascii="仿宋" w:hAnsi="仿宋" w:eastAsia="仿宋" w:cs="仿宋"/>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kern w:val="2"/>
          <w:sz w:val="32"/>
          <w:szCs w:val="32"/>
          <w:shd w:val="clear" w:fill="FFFFFF"/>
          <w:lang w:val="en-US" w:eastAsia="zh-CN" w:bidi="ar-SA"/>
        </w:rPr>
        <w:t xml:space="preserve">  2011年，我局政府信息公开工作仍处于起步阶段，因此，还存在不少问题和不足，主要是信息公开数量偏少、信息公开的内容有待进一步完善、信息更新还不够及时等。为进一步做好我局信息公开工作，我们在今后的信息公开工作中将采取以下措施：</w:t>
      </w:r>
    </w:p>
    <w:p>
      <w:pPr>
        <w:tabs>
          <w:tab w:val="left" w:pos="733"/>
        </w:tabs>
        <w:jc w:val="left"/>
        <w:rPr>
          <w:rFonts w:hint="eastAsia" w:ascii="仿宋" w:hAnsi="仿宋" w:eastAsia="仿宋" w:cs="仿宋"/>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kern w:val="2"/>
          <w:sz w:val="32"/>
          <w:szCs w:val="32"/>
          <w:shd w:val="clear" w:fill="FFFFFF"/>
          <w:lang w:val="en-US" w:eastAsia="zh-CN" w:bidi="ar-SA"/>
        </w:rPr>
        <w:t xml:space="preserve">    一是统一思想，提高认识，坚定不移的做好政府信息公开工作。把政府信息公开作为服务经济、服务社会、服务民生的重要途径，与安全生产等具体工作结合起来，做到机构健全、制度完善、责任到人，建立起各负其责、运转协调的政府信息公开长效机制。</w:t>
      </w:r>
    </w:p>
    <w:p>
      <w:pPr>
        <w:tabs>
          <w:tab w:val="left" w:pos="733"/>
        </w:tabs>
        <w:ind w:firstLine="640" w:firstLineChars="200"/>
        <w:jc w:val="left"/>
        <w:rPr>
          <w:rFonts w:hint="eastAsia" w:ascii="仿宋" w:hAnsi="仿宋" w:eastAsia="仿宋" w:cs="仿宋"/>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kern w:val="2"/>
          <w:sz w:val="32"/>
          <w:szCs w:val="32"/>
          <w:shd w:val="clear" w:fill="FFFFFF"/>
          <w:lang w:val="en-US" w:eastAsia="zh-CN" w:bidi="ar-SA"/>
        </w:rPr>
        <w:t>二是以服务社会、服务民生为宗旨，提升网站服务功能，进一步完善和拓展政府信息公开的内容及形式，充分发挥政府网站的第一平台作用。</w:t>
      </w:r>
    </w:p>
    <w:p>
      <w:pPr>
        <w:tabs>
          <w:tab w:val="left" w:pos="733"/>
        </w:tabs>
        <w:jc w:val="left"/>
        <w:rPr>
          <w:rFonts w:hint="eastAsia" w:ascii="仿宋" w:hAnsi="仿宋" w:eastAsia="仿宋" w:cs="仿宋"/>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kern w:val="2"/>
          <w:sz w:val="32"/>
          <w:szCs w:val="32"/>
          <w:shd w:val="clear" w:fill="FFFFFF"/>
          <w:lang w:val="en-US" w:eastAsia="zh-CN" w:bidi="ar-SA"/>
        </w:rPr>
        <w:t xml:space="preserve">    三是努力规范工作流程。我局将按照《中华人民共和国政府信息公开条例》要求，进一步梳理局机关所掌握的政府信息，及时提供，定期维护，确保政府信息公开工作能按照既定的工作流程有效运作，方便公众查询。同时对原有的政府信息公开目录进行补充完善，保证公开信息的完整性和准确性。</w:t>
      </w:r>
    </w:p>
    <w:p>
      <w:pPr>
        <w:tabs>
          <w:tab w:val="left" w:pos="73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七、说明与附表</w:t>
      </w:r>
    </w:p>
    <w:tbl>
      <w:tblPr>
        <w:tblStyle w:val="4"/>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870"/>
        <w:gridCol w:w="12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指标名称</w:t>
            </w:r>
          </w:p>
        </w:tc>
        <w:tc>
          <w:tcPr>
            <w:tcW w:w="87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单位</w:t>
            </w:r>
          </w:p>
        </w:tc>
        <w:tc>
          <w:tcPr>
            <w:tcW w:w="1275"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2011年</w:t>
            </w:r>
          </w:p>
        </w:tc>
        <w:tc>
          <w:tcPr>
            <w:tcW w:w="159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历年累计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主动公开文件数</w:t>
            </w:r>
          </w:p>
        </w:tc>
        <w:tc>
          <w:tcPr>
            <w:tcW w:w="87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3</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其中：1.政府网站公开数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3</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2.政府公报公开数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受理政府信息公开申请数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ind w:firstLine="640" w:firstLineChars="200"/>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其中：1.当面申请数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2.网络申请数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3.信函、传真申请数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对申请的答复总数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其中：1同意公开答复数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2.同意部分公开答复数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3.不予公开答复数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4.其他类型答复数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接受行政申诉、举报数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行政复议数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行政诉讼数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bl>
    <w:p/>
    <w:p/>
    <w:p/>
    <w:p/>
    <w:p>
      <w:pPr>
        <w:ind w:firstLine="4160" w:firstLineChars="13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安溪县安全生产监督管理局</w:t>
      </w:r>
    </w:p>
    <w:p>
      <w:pPr>
        <w:ind w:firstLine="4800" w:firstLineChars="15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2011年12月31日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2719D"/>
    <w:rsid w:val="075B7FC2"/>
    <w:rsid w:val="1B7B1163"/>
    <w:rsid w:val="2A6A7B71"/>
    <w:rsid w:val="4555197C"/>
    <w:rsid w:val="51E0797D"/>
    <w:rsid w:val="650243D4"/>
    <w:rsid w:val="6BD27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2018-01-16T12:03:00Z</dcterms:created>
  <dc:creator>。。。</dc:creator>
  <cp:lastModifiedBy>原点</cp:lastModifiedBy>
  <dcterms:modified xsi:type="dcterms:W3CDTF">2018-01-17T03:11:39Z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