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GoBack"/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8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安应急〔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13" w:rightChars="-149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安溪县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eastAsia="zh-CN"/>
        </w:rPr>
        <w:t>应急管理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年政府信息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-313" w:rightChars="-149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spacing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0"/>
          <w:kern w:val="0"/>
          <w:sz w:val="44"/>
          <w:szCs w:val="44"/>
        </w:rPr>
        <w:t>公开工作年度报告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根据《中华人民共和国政府信息公开条例》（国务院令第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711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号）等文件要求，特编制并向社会公布安溪县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应急管理局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政府信息公开工作年度报告。本报告由总体情况，主动公开政府信息的情况，收到和处理政府信息公开申请情况，政府信息公开行政复议、行政诉讼情况，存在的主要问题及改进情况，其他需要报告的事项等六部分组成。本年报中所列数据的统计期限自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日起至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日止。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本年报的电子版可在“安溪县政府门户网”（www.fjax.gov.cn）下载。如对本年报有疑问，请与安溪县应急管理局办公室联系。（地址：安溪县凤城镇民主路100号4楼414室，邮编：362400，电话：23286709，传真：23234220，电子邮箱：anxiajj@163.com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，安溪县应急管理局在县委、县政府坚强领导下，以维护人民群众安全和社会稳定为宗旨，充分发挥应急职能，不断完善政府信息公开相关配套制度和工作规范，积极拓展公开的载体和形式，加强政务公开工作，提高应急管理工作的透明度和公众参与度，为保障公众生命财产安全和社会稳定发展做出积极贡献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（一）及时发布，扩大影响。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根据要求及时发布相关应急预案和预警信息，让公众了解突发事件应对措施，提高公众的应急意识和应对能力。发布安全生产和风险防范方面相关信息，加强公众的安全意识和风险防范能力，预防和减少安全事故的发生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（二）细化分工，督促落实。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县应急管理局高度重视政务信息公开工作，将政务信息公开工作分类细化落实到各个股室，主动公开部门工作动态、依法公开部门文件，推动我局政务信息工作有序开展。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val="en-US" w:eastAsia="zh-CN"/>
        </w:rPr>
        <w:t>（三）加强建设，提高质量。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专人持续保障平台信息的及时发布，对发布的相关内容质量进行检查，确保能及时发现问题并处理整改。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二、</w:t>
      </w:r>
      <w:r>
        <w:rPr>
          <w:rFonts w:hint="eastAsia" w:ascii="黑体" w:eastAsia="黑体"/>
          <w:sz w:val="32"/>
          <w:szCs w:val="32"/>
        </w:rPr>
        <w:t>主动公开政府信息的情况</w:t>
      </w:r>
    </w:p>
    <w:p>
      <w:pPr>
        <w:pStyle w:val="2"/>
        <w:rPr>
          <w:rFonts w:hint="eastAsia"/>
        </w:rPr>
      </w:pPr>
    </w:p>
    <w:tbl>
      <w:tblPr>
        <w:tblStyle w:val="9"/>
        <w:tblpPr w:leftFromText="180" w:rightFromText="180" w:vertAnchor="text" w:horzAnchor="page" w:tblpXSpec="center" w:tblpY="169"/>
        <w:tblOverlap w:val="never"/>
        <w:tblW w:w="842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103"/>
        <w:gridCol w:w="2103"/>
        <w:gridCol w:w="21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2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制发件数</w:t>
            </w:r>
          </w:p>
        </w:tc>
        <w:tc>
          <w:tcPr>
            <w:tcW w:w="21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21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现行有效件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42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10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32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收到和处理政府信息公开申请情况</w:t>
      </w:r>
    </w:p>
    <w:tbl>
      <w:tblPr>
        <w:tblStyle w:val="9"/>
        <w:tblW w:w="83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932"/>
        <w:gridCol w:w="2313"/>
        <w:gridCol w:w="573"/>
        <w:gridCol w:w="571"/>
        <w:gridCol w:w="572"/>
        <w:gridCol w:w="570"/>
        <w:gridCol w:w="571"/>
        <w:gridCol w:w="576"/>
        <w:gridCol w:w="100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88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43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自然人</w:t>
            </w:r>
          </w:p>
        </w:tc>
        <w:tc>
          <w:tcPr>
            <w:tcW w:w="28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</w:t>
            </w:r>
          </w:p>
        </w:tc>
        <w:tc>
          <w:tcPr>
            <w:tcW w:w="1004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  <w:jc w:val="center"/>
        </w:trPr>
        <w:tc>
          <w:tcPr>
            <w:tcW w:w="388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商业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科研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</w:t>
            </w:r>
          </w:p>
        </w:tc>
        <w:tc>
          <w:tcPr>
            <w:tcW w:w="5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社会公益组织</w:t>
            </w:r>
          </w:p>
        </w:tc>
        <w:tc>
          <w:tcPr>
            <w:tcW w:w="5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法律服务机构</w:t>
            </w:r>
          </w:p>
        </w:tc>
        <w:tc>
          <w:tcPr>
            <w:tcW w:w="5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1004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三、本年度办理结果</w:t>
            </w: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（三）不予公开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1.属于国家秘密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2.其他法律行政法规禁止公开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3.危及“三安全一稳定”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4.保护第三方合法权益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5.属于三类内部事务信息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6.属于四类过程性信息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7.属于行政执法案卷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8.属于行政查询事项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（四）无法提供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1.本机关不掌握相关政府信息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2.没有现成信息需要另行制作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3.补正后申请内容仍不明确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（五）不予处理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1.信访举报投诉类申请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2.重复申请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3.要求提供公开出版物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4.无正当理由大量反复申请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（六）其他处理</w:t>
            </w:r>
          </w:p>
        </w:tc>
        <w:tc>
          <w:tcPr>
            <w:tcW w:w="2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atLeast"/>
          <w:jc w:val="center"/>
        </w:trPr>
        <w:tc>
          <w:tcPr>
            <w:tcW w:w="637" w:type="dxa"/>
            <w:vMerge w:val="continue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both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2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3.其他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88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四、结转下年度继续办理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eastAsia="黑体"/>
          <w:b w:val="0"/>
          <w:bCs w:val="0"/>
          <w:sz w:val="32"/>
          <w:szCs w:val="32"/>
        </w:rPr>
      </w:pPr>
      <w:r>
        <w:rPr>
          <w:rFonts w:hint="eastAsia" w:ascii="黑体" w:eastAsia="黑体"/>
          <w:b w:val="0"/>
          <w:bCs w:val="0"/>
          <w:sz w:val="32"/>
          <w:szCs w:val="32"/>
        </w:rPr>
        <w:t>四、因政府信息公开申请行政复议、提起行政诉讼的情况</w:t>
      </w:r>
    </w:p>
    <w:tbl>
      <w:tblPr>
        <w:tblStyle w:val="9"/>
        <w:tblpPr w:leftFromText="180" w:rightFromText="180" w:vertAnchor="text" w:horzAnchor="page" w:tblpX="1859" w:tblpY="28"/>
        <w:tblOverlap w:val="never"/>
        <w:tblW w:w="851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67"/>
        <w:gridCol w:w="567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行政复议</w:t>
            </w:r>
          </w:p>
        </w:tc>
        <w:tc>
          <w:tcPr>
            <w:tcW w:w="568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未经复议直接起诉</w:t>
            </w:r>
          </w:p>
        </w:tc>
        <w:tc>
          <w:tcPr>
            <w:tcW w:w="2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维持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维持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结果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纠正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尚未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审结</w:t>
            </w:r>
          </w:p>
        </w:tc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虽然在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公开工作方面取得了一定的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，但也存在一些问题。如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公开的渠道和形式还不够多样化，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公开的及时性和准确性还有待提高等。我们将认真分析这些问题，采取有效措施加以改进。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下一步，我们将继续加强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公开工作，不断提高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的质量和水平。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拓展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公开的渠道和形式，增加政务公开的覆盖面和影响力。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加强应急管理政策的宣传和解读，提高公众对应急管理工作的认知和理解。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公开的制度和机制，确保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公开的及时性和准确性。</w:t>
      </w:r>
    </w:p>
    <w:p>
      <w:pPr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 w:firstLine="63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六、其他需要报告的事项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2023年，我局未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收取政府信息处理费。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200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安溪县应急管理局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           2024年1月17日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（此件公开发布）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290830</wp:posOffset>
                </wp:positionV>
                <wp:extent cx="526732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8pt;margin-top:22.9pt;height:0.75pt;width:414.75pt;z-index:251661312;mso-width-relative:page;mso-height-relative:page;" filled="f" stroked="t" coordsize="21600,21600" o:gfxdata="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56CQzWAAAACAEAAA8AAAAAAAAAAQAgAAAAIgAAAGRycy9kb3ducmV2&#10;LnhtbFBLAQIUABQAAAAIAIdO4kBn7Dhe/gEAAP8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288" w:lineRule="auto"/>
        <w:ind w:firstLine="280" w:firstLineChars="100"/>
      </w:pPr>
      <w:r>
        <w:rPr>
          <w:rFonts w:ascii="仿宋_GB2312" w:hAnsi="仿宋_GB2312" w:eastAsia="仿宋_GB2312" w:cs="仿宋_GB2312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243205</wp:posOffset>
                </wp:positionV>
                <wp:extent cx="5267325" cy="952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.05pt;margin-top:19.15pt;height:0.75pt;width:414.75pt;z-index:251660288;mso-width-relative:page;mso-height-relative:page;" filled="f" stroked="t" coordsize="21600,21600" o:gfxdata="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U+20TWAAAACAEAAA8AAAAAAAAAAQAgAAAAIgAAAGRycy9kb3ducmV2&#10;LnhtbFBLAQIUABQAAAAIAIdO4kAMHG4Z/gEAAP8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安溪县应急管理局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YzUwZTIxYjk5MTMxM2VhMWFjMDM5ZDQ0YzAyNmIifQ=="/>
    <w:docVar w:name="KSO_WPS_MARK_KEY" w:val="7eeaecf9-de51-4070-bc06-d74cf186e5ab"/>
  </w:docVars>
  <w:rsids>
    <w:rsidRoot w:val="27056B3A"/>
    <w:rsid w:val="110F7A28"/>
    <w:rsid w:val="17EA484B"/>
    <w:rsid w:val="27056B3A"/>
    <w:rsid w:val="5F64242D"/>
    <w:rsid w:val="62C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/>
    </w:pPr>
    <w:rPr>
      <w:rFonts w:ascii="Verdana" w:hAnsi="Verdana" w:eastAsia="方正仿宋简体" w:cs="方正仿宋简体"/>
      <w:sz w:val="32"/>
      <w:szCs w:val="20"/>
    </w:rPr>
  </w:style>
  <w:style w:type="paragraph" w:styleId="5">
    <w:name w:val="Body Text"/>
    <w:basedOn w:val="1"/>
    <w:qFormat/>
    <w:uiPriority w:val="99"/>
    <w:pPr>
      <w:ind w:left="493"/>
    </w:pPr>
    <w:rPr>
      <w:rFonts w:ascii="仿宋" w:hAnsi="仿宋" w:eastAsia="仿宋" w:cs="仿宋"/>
      <w:sz w:val="32"/>
      <w:szCs w:val="32"/>
      <w:lang w:val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1920</Words>
  <Characters>2029</Characters>
  <Lines>0</Lines>
  <Paragraphs>0</Paragraphs>
  <TotalTime>21</TotalTime>
  <ScaleCrop>false</ScaleCrop>
  <LinksUpToDate>false</LinksUpToDate>
  <CharactersWithSpaces>2107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2024-01-16T08:42:00Z</dcterms:created>
  <dc:creator>WPS_1690764868</dc:creator>
  <cp:lastModifiedBy>Emily</cp:lastModifiedBy>
  <cp:lastPrinted>2024-01-18T01:17:09Z</cp:lastPrinted>
  <dcterms:modified xsi:type="dcterms:W3CDTF">2024-01-18T01:32:47Z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8DD21ADE2A3A4DC18EC63F416848A3E8_13</vt:lpwstr>
  </property>
</Properties>
</file>