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安溪县第二水厂工程可行性研究报告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福建省安溪县自来水有限公司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安溪县第二水厂工程可行性研究报告</w:t>
      </w:r>
      <w:r>
        <w:rPr>
          <w:rFonts w:hint="eastAsia" w:ascii="仿宋_GB2312" w:eastAsia="仿宋_GB2312"/>
          <w:sz w:val="32"/>
          <w:szCs w:val="32"/>
        </w:rPr>
        <w:t>的函》及</w:t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</w:rPr>
        <w:t>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安溪县第二水厂工程</w:t>
      </w:r>
      <w:r>
        <w:rPr>
          <w:rFonts w:hint="eastAsia" w:ascii="仿宋_GB2312" w:eastAsia="仿宋_GB2312"/>
          <w:sz w:val="32"/>
          <w:szCs w:val="32"/>
        </w:rPr>
        <w:t>（项目代码：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2211-350524-04-01-613534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可行性研究报告</w:t>
      </w:r>
      <w:r>
        <w:rPr>
          <w:rFonts w:hint="eastAsia" w:ascii="仿宋_GB2312" w:eastAsia="仿宋_GB2312"/>
          <w:sz w:val="32"/>
          <w:szCs w:val="32"/>
        </w:rPr>
        <w:t>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安溪县第二水厂工程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安溪县城厢镇、凤城镇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主要建设内容包括规模20万m³/d取水泵站（其中安溪二水厂规模15万m³/d，现状安溪水厂规模5万m³/d）和规模15万m³/d净水厂各1座，包含折板絮凝池、平流沉淀池、V型滤池、清水池、回收水池、污泥调节池、污泥浓缩池、污泥脱水车间、送水泵房、加药间等；DN1400原水管道约0.9km、DN800原水管道约0.9km，DN600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DN1500配水管道约8.4km。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39671.77万元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7122B2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BD703C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7B46FD"/>
    <w:rsid w:val="21AC56AD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510319F7"/>
    <w:rsid w:val="513274E8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8A68FA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347</Words>
  <Characters>397</Characters>
  <Lines>3</Lines>
  <Paragraphs>1</Paragraphs>
  <TotalTime>1048</TotalTime>
  <ScaleCrop>false</ScaleCrop>
  <LinksUpToDate>false</LinksUpToDate>
  <CharactersWithSpaces>432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2023-02-20T01:22:35Z</cp:lastPrinted>
  <dcterms:modified xsi:type="dcterms:W3CDTF">2023-02-20T01:25:53Z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4A69C71CA53F4A5DA5F6EC442DC8C9DD</vt:lpwstr>
  </property>
</Properties>
</file>