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8F" w:rsidRDefault="009F5D8F">
      <w:pPr>
        <w:spacing w:line="600" w:lineRule="exact"/>
        <w:rPr>
          <w:rFonts w:eastAsia="方正小标宋简体" w:cs="Times New Roma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</w:p>
    <w:p w:rsidR="009F5D8F" w:rsidRDefault="009F5D8F">
      <w:pPr>
        <w:spacing w:line="600" w:lineRule="exact"/>
        <w:jc w:val="center"/>
        <w:rPr>
          <w:rFonts w:eastAsia="方正小标宋简体" w:cs="Times New Roman"/>
        </w:rPr>
      </w:pPr>
      <w:r>
        <w:rPr>
          <w:rFonts w:eastAsia="方正小标宋简体" w:cs="方正小标宋简体" w:hint="eastAsia"/>
        </w:rPr>
        <w:t>道路运输经营者考核表</w:t>
      </w:r>
    </w:p>
    <w:p w:rsidR="009F5D8F" w:rsidRDefault="009F5D8F">
      <w:pPr>
        <w:rPr>
          <w:rFonts w:eastAsia="宋体" w:cs="Times New Roman"/>
          <w:sz w:val="18"/>
          <w:szCs w:val="18"/>
        </w:rPr>
      </w:pPr>
      <w:r>
        <w:rPr>
          <w:rFonts w:eastAsia="宋体" w:cs="宋体" w:hint="eastAsia"/>
          <w:sz w:val="18"/>
          <w:szCs w:val="18"/>
        </w:rPr>
        <w:t>道路运输经营者：</w:t>
      </w:r>
      <w:r>
        <w:rPr>
          <w:rFonts w:eastAsia="宋体"/>
          <w:sz w:val="18"/>
          <w:szCs w:val="18"/>
        </w:rPr>
        <w:t xml:space="preserve">  </w:t>
      </w:r>
      <w:r>
        <w:rPr>
          <w:rFonts w:ascii="楷体" w:eastAsia="宋体" w:hAnsi="楷体" w:cs="宋体" w:hint="eastAsia"/>
          <w:sz w:val="18"/>
          <w:szCs w:val="18"/>
        </w:rPr>
        <w:t>福建安溪泉安汽车运输有限公司</w:t>
      </w:r>
      <w:r>
        <w:rPr>
          <w:rFonts w:eastAsia="宋体"/>
          <w:sz w:val="18"/>
          <w:szCs w:val="18"/>
        </w:rPr>
        <w:t xml:space="preserve">                               </w:t>
      </w:r>
      <w:r>
        <w:rPr>
          <w:rFonts w:eastAsia="宋体" w:cs="宋体" w:hint="eastAsia"/>
          <w:sz w:val="18"/>
          <w:szCs w:val="18"/>
        </w:rPr>
        <w:t>总得分：</w:t>
      </w:r>
      <w:r>
        <w:rPr>
          <w:rFonts w:ascii="楷体" w:eastAsia="宋体" w:hAnsi="楷体" w:cs="楷体"/>
          <w:sz w:val="18"/>
          <w:szCs w:val="18"/>
        </w:rPr>
        <w:t>94.72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2"/>
        <w:gridCol w:w="1404"/>
        <w:gridCol w:w="672"/>
        <w:gridCol w:w="5760"/>
        <w:gridCol w:w="900"/>
      </w:tblGrid>
      <w:tr w:rsidR="009F5D8F" w:rsidRPr="00E3318C" w:rsidTr="00B447A7">
        <w:trPr>
          <w:trHeight w:val="624"/>
        </w:trPr>
        <w:tc>
          <w:tcPr>
            <w:tcW w:w="1092" w:type="dxa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考评项</w:t>
            </w:r>
          </w:p>
        </w:tc>
        <w:tc>
          <w:tcPr>
            <w:tcW w:w="2076" w:type="dxa"/>
            <w:gridSpan w:val="2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考核内容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记分标准（总分：</w:t>
            </w:r>
            <w:r w:rsidRPr="00E3318C">
              <w:rPr>
                <w:rFonts w:eastAsia="宋体"/>
                <w:sz w:val="18"/>
                <w:szCs w:val="18"/>
              </w:rPr>
              <w:t>100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900" w:type="dxa"/>
            <w:vAlign w:val="center"/>
          </w:tcPr>
          <w:p w:rsidR="009F5D8F" w:rsidRPr="00E3318C" w:rsidRDefault="009F5D8F">
            <w:pPr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得分</w:t>
            </w:r>
          </w:p>
        </w:tc>
      </w:tr>
      <w:tr w:rsidR="009F5D8F" w:rsidRPr="00E3318C" w:rsidTr="00B447A7">
        <w:trPr>
          <w:trHeight w:val="1173"/>
        </w:trPr>
        <w:tc>
          <w:tcPr>
            <w:tcW w:w="1092" w:type="dxa"/>
            <w:vMerge w:val="restart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基础硬件</w:t>
            </w:r>
          </w:p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（</w:t>
            </w:r>
            <w:r w:rsidRPr="00E3318C">
              <w:rPr>
                <w:rFonts w:eastAsia="宋体"/>
                <w:sz w:val="18"/>
                <w:szCs w:val="18"/>
              </w:rPr>
              <w:t>5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2076" w:type="dxa"/>
            <w:gridSpan w:val="2"/>
            <w:vAlign w:val="center"/>
          </w:tcPr>
          <w:p w:rsidR="009F5D8F" w:rsidRPr="00E3318C" w:rsidRDefault="009F5D8F" w:rsidP="009F5D8F">
            <w:pPr>
              <w:spacing w:line="280" w:lineRule="exact"/>
              <w:ind w:firstLineChars="150" w:firstLine="31680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制度建设</w:t>
            </w:r>
          </w:p>
          <w:p w:rsidR="009F5D8F" w:rsidRPr="00E3318C" w:rsidRDefault="009F5D8F">
            <w:pPr>
              <w:spacing w:line="280" w:lineRule="exact"/>
              <w:ind w:firstLine="404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（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建立监控平台的建设、维护及管理制度；车载终端安装、使用及维护制度；监控人员岗位职责及管理制度；交通违法动态信息处理和统计分析制度；应急突发事件处理制度。</w:t>
            </w:r>
          </w:p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少一项制度扣</w:t>
            </w:r>
            <w:r w:rsidRPr="00E3318C">
              <w:rPr>
                <w:rFonts w:eastAsia="宋体"/>
                <w:sz w:val="18"/>
                <w:szCs w:val="18"/>
              </w:rPr>
              <w:t>1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分，两项以上不得分，现场检查，执行不力不得分，制度未上墙的不得分</w:t>
            </w:r>
          </w:p>
        </w:tc>
        <w:tc>
          <w:tcPr>
            <w:tcW w:w="900" w:type="dxa"/>
            <w:vAlign w:val="center"/>
          </w:tcPr>
          <w:p w:rsidR="009F5D8F" w:rsidRPr="00E3318C" w:rsidRDefault="009F5D8F">
            <w:pPr>
              <w:jc w:val="center"/>
              <w:rPr>
                <w:rFonts w:eastAsia="宋体"/>
                <w:sz w:val="18"/>
                <w:szCs w:val="18"/>
              </w:rPr>
            </w:pPr>
            <w:r w:rsidRPr="00E3318C">
              <w:rPr>
                <w:rFonts w:eastAsia="宋体"/>
                <w:sz w:val="18"/>
                <w:szCs w:val="18"/>
              </w:rPr>
              <w:t>2</w:t>
            </w:r>
          </w:p>
        </w:tc>
      </w:tr>
      <w:tr w:rsidR="009F5D8F" w:rsidRPr="00E3318C" w:rsidTr="00B447A7">
        <w:trPr>
          <w:trHeight w:val="1055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人员保障</w:t>
            </w:r>
          </w:p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（</w:t>
            </w:r>
            <w:r w:rsidRPr="00E3318C">
              <w:rPr>
                <w:rFonts w:eastAsia="宋体"/>
                <w:sz w:val="18"/>
                <w:szCs w:val="18"/>
              </w:rPr>
              <w:t>3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技术维护人员达到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人得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分；少于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人不得分；服务车辆超过</w:t>
            </w:r>
            <w:r w:rsidRPr="00E3318C">
              <w:rPr>
                <w:rFonts w:eastAsia="宋体"/>
                <w:sz w:val="18"/>
                <w:szCs w:val="18"/>
              </w:rPr>
              <w:t>300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辆后每增加</w:t>
            </w:r>
            <w:r w:rsidRPr="00E3318C">
              <w:rPr>
                <w:rFonts w:eastAsia="宋体"/>
                <w:sz w:val="18"/>
                <w:szCs w:val="18"/>
              </w:rPr>
              <w:t>300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辆增</w:t>
            </w:r>
            <w:r w:rsidRPr="00E3318C">
              <w:rPr>
                <w:rFonts w:eastAsia="宋体"/>
                <w:sz w:val="18"/>
                <w:szCs w:val="18"/>
              </w:rPr>
              <w:t>1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人，少</w:t>
            </w:r>
            <w:r w:rsidRPr="00E3318C">
              <w:rPr>
                <w:rFonts w:eastAsia="宋体"/>
                <w:sz w:val="18"/>
                <w:szCs w:val="18"/>
              </w:rPr>
              <w:t>1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人扣</w:t>
            </w:r>
            <w:r w:rsidRPr="00E3318C">
              <w:rPr>
                <w:rFonts w:eastAsia="宋体"/>
                <w:sz w:val="18"/>
                <w:szCs w:val="18"/>
              </w:rPr>
              <w:t>1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分；非企业注册地，少于</w:t>
            </w:r>
            <w:r w:rsidRPr="00E3318C">
              <w:rPr>
                <w:rFonts w:eastAsia="宋体"/>
                <w:sz w:val="18"/>
                <w:szCs w:val="18"/>
              </w:rPr>
              <w:t>1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人不得分；定期开展监控人员业务培训，未开展培训的扣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900" w:type="dxa"/>
            <w:vAlign w:val="center"/>
          </w:tcPr>
          <w:p w:rsidR="009F5D8F" w:rsidRPr="00E3318C" w:rsidRDefault="009F5D8F">
            <w:pPr>
              <w:jc w:val="center"/>
              <w:rPr>
                <w:rFonts w:eastAsia="宋体"/>
                <w:sz w:val="18"/>
                <w:szCs w:val="18"/>
              </w:rPr>
            </w:pPr>
            <w:r w:rsidRPr="00E3318C">
              <w:rPr>
                <w:rFonts w:eastAsia="宋体"/>
                <w:sz w:val="18"/>
                <w:szCs w:val="18"/>
              </w:rPr>
              <w:t>3</w:t>
            </w:r>
          </w:p>
        </w:tc>
      </w:tr>
      <w:tr w:rsidR="009F5D8F" w:rsidRPr="00E3318C" w:rsidTr="00B447A7">
        <w:trPr>
          <w:trHeight w:val="547"/>
        </w:trPr>
        <w:tc>
          <w:tcPr>
            <w:tcW w:w="1092" w:type="dxa"/>
            <w:vMerge w:val="restart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技术指标（</w:t>
            </w:r>
            <w:r w:rsidRPr="00E3318C">
              <w:rPr>
                <w:rFonts w:eastAsia="宋体"/>
                <w:sz w:val="18"/>
                <w:szCs w:val="18"/>
              </w:rPr>
              <w:t>80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2076" w:type="dxa"/>
            <w:gridSpan w:val="2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车辆入网率（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统计周期内，企业出现每一辆</w:t>
            </w:r>
            <w:r w:rsidRPr="00E3318C">
              <w:rPr>
                <w:rFonts w:eastAsia="宋体"/>
                <w:sz w:val="18"/>
                <w:szCs w:val="18"/>
              </w:rPr>
              <w:t>/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天未入网扣</w:t>
            </w:r>
            <w:r w:rsidRPr="00E3318C">
              <w:rPr>
                <w:rFonts w:eastAsia="宋体"/>
                <w:sz w:val="18"/>
                <w:szCs w:val="18"/>
              </w:rPr>
              <w:t>1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分，总分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分，扣完为止。</w:t>
            </w:r>
          </w:p>
        </w:tc>
        <w:tc>
          <w:tcPr>
            <w:tcW w:w="900" w:type="dxa"/>
            <w:vAlign w:val="center"/>
          </w:tcPr>
          <w:p w:rsidR="009F5D8F" w:rsidRPr="00E3318C" w:rsidRDefault="009F5D8F">
            <w:pPr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ascii="楷体" w:eastAsia="宋体" w:hAnsi="楷体" w:cs="楷体"/>
                <w:sz w:val="18"/>
                <w:szCs w:val="18"/>
              </w:rPr>
              <w:t>2</w:t>
            </w:r>
          </w:p>
        </w:tc>
      </w:tr>
      <w:tr w:rsidR="009F5D8F" w:rsidRPr="00E3318C" w:rsidTr="00B447A7">
        <w:trPr>
          <w:trHeight w:val="491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车辆上线率（</w:t>
            </w:r>
            <w:r w:rsidRPr="00E3318C">
              <w:rPr>
                <w:rFonts w:eastAsia="宋体"/>
                <w:sz w:val="18"/>
                <w:szCs w:val="18"/>
              </w:rPr>
              <w:t>3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统计周期内，辖区内上线率低于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100%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的，每低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1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个百分点扣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0.15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分，低于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90%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得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0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分，总分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3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分。</w:t>
            </w:r>
          </w:p>
        </w:tc>
        <w:tc>
          <w:tcPr>
            <w:tcW w:w="900" w:type="dxa"/>
            <w:vAlign w:val="center"/>
          </w:tcPr>
          <w:p w:rsidR="009F5D8F" w:rsidRPr="00E3318C" w:rsidRDefault="009F5D8F">
            <w:pPr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ascii="楷体" w:eastAsia="宋体" w:hAnsi="楷体" w:cs="楷体"/>
                <w:sz w:val="18"/>
                <w:szCs w:val="18"/>
              </w:rPr>
              <w:t>3</w:t>
            </w:r>
          </w:p>
        </w:tc>
      </w:tr>
      <w:tr w:rsidR="009F5D8F" w:rsidRPr="00E3318C" w:rsidTr="00B447A7">
        <w:trPr>
          <w:trHeight w:val="547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轨迹完整率（</w:t>
            </w:r>
            <w:r w:rsidRPr="00E3318C">
              <w:rPr>
                <w:rFonts w:eastAsia="宋体"/>
                <w:sz w:val="18"/>
                <w:szCs w:val="18"/>
              </w:rPr>
              <w:t>10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统计周期内，辖区内车辆轨迹完整率分为三个梯度得分。分别为低于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70%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得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0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分，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97%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得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8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分，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100%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得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10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分；轨迹完整率在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70%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至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97%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之间的，每高于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70%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一个百分点得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0.30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分，不足一个百分点按比重线性得分；轨迹完整率在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97%-100%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之间的，每高于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97%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一个百分点得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0.67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分，不足一个百分点按比重线性得分；总分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10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分。</w:t>
            </w:r>
          </w:p>
        </w:tc>
        <w:tc>
          <w:tcPr>
            <w:tcW w:w="900" w:type="dxa"/>
            <w:vAlign w:val="center"/>
          </w:tcPr>
          <w:p w:rsidR="009F5D8F" w:rsidRPr="00E3318C" w:rsidRDefault="009F5D8F">
            <w:pPr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ascii="楷体" w:eastAsia="宋体" w:hAnsi="楷体" w:cs="楷体"/>
                <w:sz w:val="18"/>
                <w:szCs w:val="18"/>
              </w:rPr>
              <w:t>9.72</w:t>
            </w:r>
          </w:p>
        </w:tc>
      </w:tr>
      <w:tr w:rsidR="009F5D8F" w:rsidRPr="00E3318C" w:rsidTr="00B447A7">
        <w:trPr>
          <w:trHeight w:val="589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数据合格率（</w:t>
            </w:r>
            <w:r w:rsidRPr="00E3318C">
              <w:rPr>
                <w:rFonts w:eastAsia="宋体"/>
                <w:sz w:val="18"/>
                <w:szCs w:val="18"/>
              </w:rPr>
              <w:t>5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统计周期内，辖区内数据合格率低于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100%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的，每低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1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个百分点扣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0.1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分，低于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80%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得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0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分，总分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5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分。</w:t>
            </w:r>
          </w:p>
        </w:tc>
        <w:tc>
          <w:tcPr>
            <w:tcW w:w="900" w:type="dxa"/>
            <w:vAlign w:val="center"/>
          </w:tcPr>
          <w:p w:rsidR="009F5D8F" w:rsidRPr="00E3318C" w:rsidRDefault="009F5D8F">
            <w:pPr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ascii="楷体" w:eastAsia="宋体" w:hAnsi="楷体" w:cs="楷体"/>
                <w:sz w:val="18"/>
                <w:szCs w:val="18"/>
              </w:rPr>
              <w:t>5</w:t>
            </w:r>
          </w:p>
        </w:tc>
      </w:tr>
      <w:tr w:rsidR="009F5D8F" w:rsidRPr="00E3318C" w:rsidTr="00B447A7">
        <w:trPr>
          <w:trHeight w:val="90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卫星定位漂移车辆率（</w:t>
            </w:r>
            <w:r w:rsidRPr="00E3318C">
              <w:rPr>
                <w:rFonts w:eastAsia="宋体"/>
                <w:sz w:val="18"/>
                <w:szCs w:val="18"/>
              </w:rPr>
              <w:t>5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/>
                <w:sz w:val="18"/>
                <w:szCs w:val="18"/>
              </w:rPr>
              <w:t>5-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定位漂移车辆率</w:t>
            </w:r>
            <w:r w:rsidRPr="00E3318C">
              <w:rPr>
                <w:rFonts w:eastAsia="宋体"/>
                <w:sz w:val="18"/>
                <w:szCs w:val="18"/>
              </w:rPr>
              <w:t>*5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，高于</w:t>
            </w:r>
            <w:r w:rsidRPr="00E3318C">
              <w:rPr>
                <w:rFonts w:eastAsia="宋体"/>
                <w:sz w:val="18"/>
                <w:szCs w:val="18"/>
              </w:rPr>
              <w:t>5%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不得分</w:t>
            </w:r>
          </w:p>
        </w:tc>
        <w:tc>
          <w:tcPr>
            <w:tcW w:w="900" w:type="dxa"/>
            <w:vAlign w:val="center"/>
          </w:tcPr>
          <w:p w:rsidR="009F5D8F" w:rsidRPr="00E3318C" w:rsidRDefault="009F5D8F">
            <w:pPr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ascii="楷体" w:eastAsia="宋体" w:hAnsi="楷体" w:cs="楷体"/>
                <w:sz w:val="18"/>
                <w:szCs w:val="18"/>
              </w:rPr>
              <w:t>0</w:t>
            </w:r>
          </w:p>
        </w:tc>
      </w:tr>
      <w:tr w:rsidR="009F5D8F" w:rsidRPr="00E3318C" w:rsidTr="00B447A7">
        <w:trPr>
          <w:trHeight w:val="420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平台查岗响应率（</w:t>
            </w:r>
            <w:r w:rsidRPr="00E3318C">
              <w:rPr>
                <w:rFonts w:eastAsia="宋体"/>
                <w:sz w:val="18"/>
                <w:szCs w:val="18"/>
              </w:rPr>
              <w:t>3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平台查岗响应率</w:t>
            </w:r>
            <w:r w:rsidRPr="00E3318C">
              <w:rPr>
                <w:rFonts w:eastAsia="宋体"/>
                <w:sz w:val="18"/>
                <w:szCs w:val="18"/>
              </w:rPr>
              <w:t>*3</w:t>
            </w:r>
          </w:p>
        </w:tc>
        <w:tc>
          <w:tcPr>
            <w:tcW w:w="900" w:type="dxa"/>
            <w:vAlign w:val="center"/>
          </w:tcPr>
          <w:p w:rsidR="009F5D8F" w:rsidRPr="00E3318C" w:rsidRDefault="009F5D8F">
            <w:pPr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ascii="楷体" w:eastAsia="宋体" w:hAnsi="楷体" w:cs="楷体"/>
                <w:sz w:val="18"/>
                <w:szCs w:val="18"/>
              </w:rPr>
              <w:t>3</w:t>
            </w:r>
          </w:p>
        </w:tc>
      </w:tr>
      <w:tr w:rsidR="009F5D8F" w:rsidRPr="00E3318C" w:rsidTr="00B447A7">
        <w:trPr>
          <w:trHeight w:val="420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违法违规情况（</w:t>
            </w:r>
            <w:r w:rsidRPr="00E3318C">
              <w:rPr>
                <w:rFonts w:eastAsia="宋体"/>
                <w:sz w:val="18"/>
                <w:szCs w:val="18"/>
              </w:rPr>
              <w:t>52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分，考核货运业户）</w:t>
            </w:r>
          </w:p>
        </w:tc>
        <w:tc>
          <w:tcPr>
            <w:tcW w:w="672" w:type="dxa"/>
            <w:vMerge w:val="restart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平均疲劳驾驶时长</w:t>
            </w:r>
          </w:p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（</w:t>
            </w:r>
            <w:r w:rsidRPr="00E3318C">
              <w:rPr>
                <w:rFonts w:eastAsia="宋体"/>
                <w:sz w:val="18"/>
                <w:szCs w:val="18"/>
              </w:rPr>
              <w:t>26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小于等于区域平均车辆超疲劳驾驶时长的，</w:t>
            </w:r>
            <w:r w:rsidRPr="00E3318C">
              <w:rPr>
                <w:rFonts w:eastAsia="宋体"/>
                <w:sz w:val="18"/>
                <w:szCs w:val="18"/>
              </w:rPr>
              <w:t>13+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〔（区域平均车辆疲劳驾驶时长</w:t>
            </w:r>
            <w:r w:rsidRPr="00E3318C">
              <w:rPr>
                <w:rFonts w:eastAsia="宋体"/>
                <w:sz w:val="18"/>
                <w:szCs w:val="18"/>
              </w:rPr>
              <w:t>-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企业平均疲劳驾驶时长）</w:t>
            </w:r>
            <w:r w:rsidRPr="00E3318C">
              <w:rPr>
                <w:rFonts w:eastAsia="宋体"/>
                <w:sz w:val="18"/>
                <w:szCs w:val="18"/>
              </w:rPr>
              <w:t>/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区域平均车辆疲劳驾驶时长〕</w:t>
            </w:r>
            <w:r w:rsidRPr="00E3318C">
              <w:rPr>
                <w:rFonts w:eastAsia="宋体"/>
                <w:sz w:val="18"/>
                <w:szCs w:val="18"/>
              </w:rPr>
              <w:t>*13</w:t>
            </w:r>
          </w:p>
        </w:tc>
        <w:tc>
          <w:tcPr>
            <w:tcW w:w="900" w:type="dxa"/>
            <w:vMerge w:val="restart"/>
            <w:vAlign w:val="center"/>
          </w:tcPr>
          <w:p w:rsidR="009F5D8F" w:rsidRPr="00E3318C" w:rsidRDefault="009F5D8F">
            <w:pPr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</w:tr>
      <w:tr w:rsidR="009F5D8F" w:rsidRPr="00E3318C" w:rsidTr="00B447A7">
        <w:trPr>
          <w:trHeight w:val="1310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高于区域平均车辆疲劳驾驶时长且小于区域平均车辆疲劳驾驶时长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倍的，〔（企业平均疲劳驾驶时长</w:t>
            </w:r>
            <w:r w:rsidRPr="00E3318C">
              <w:rPr>
                <w:rFonts w:eastAsia="宋体"/>
                <w:sz w:val="18"/>
                <w:szCs w:val="18"/>
              </w:rPr>
              <w:t>-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区域平均车辆疲劳驾驶时长）</w:t>
            </w:r>
            <w:r w:rsidRPr="00E3318C">
              <w:rPr>
                <w:rFonts w:eastAsia="宋体"/>
                <w:sz w:val="18"/>
                <w:szCs w:val="18"/>
              </w:rPr>
              <w:t>/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区域平均车辆疲劳驾驶时长〕</w:t>
            </w:r>
            <w:r w:rsidRPr="00E3318C">
              <w:rPr>
                <w:rFonts w:eastAsia="宋体"/>
                <w:sz w:val="18"/>
                <w:szCs w:val="18"/>
              </w:rPr>
              <w:t>*13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；大于等于区域平均车辆疲劳驾驶时长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倍的，不得分。</w:t>
            </w:r>
          </w:p>
        </w:tc>
        <w:tc>
          <w:tcPr>
            <w:tcW w:w="900" w:type="dxa"/>
            <w:vMerge/>
            <w:vAlign w:val="center"/>
          </w:tcPr>
          <w:p w:rsidR="009F5D8F" w:rsidRPr="00E3318C" w:rsidRDefault="009F5D8F">
            <w:pPr>
              <w:rPr>
                <w:rFonts w:eastAsia="宋体" w:cs="Times New Roman"/>
                <w:sz w:val="18"/>
                <w:szCs w:val="18"/>
              </w:rPr>
            </w:pPr>
          </w:p>
        </w:tc>
      </w:tr>
      <w:tr w:rsidR="009F5D8F" w:rsidRPr="00E3318C" w:rsidTr="00B447A7">
        <w:trPr>
          <w:trHeight w:val="420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平均车辆超速次数</w:t>
            </w:r>
          </w:p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（</w:t>
            </w:r>
            <w:r w:rsidRPr="00E3318C">
              <w:rPr>
                <w:rFonts w:eastAsia="宋体"/>
                <w:sz w:val="18"/>
                <w:szCs w:val="18"/>
              </w:rPr>
              <w:t>26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小于等于区域平均车辆超速次数的，</w:t>
            </w:r>
            <w:r w:rsidRPr="00E3318C">
              <w:rPr>
                <w:rFonts w:eastAsia="宋体"/>
                <w:sz w:val="18"/>
                <w:szCs w:val="18"/>
              </w:rPr>
              <w:t>13+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〔（区域平均车辆超速次数</w:t>
            </w:r>
            <w:r w:rsidRPr="00E3318C">
              <w:rPr>
                <w:rFonts w:eastAsia="宋体"/>
                <w:sz w:val="18"/>
                <w:szCs w:val="18"/>
              </w:rPr>
              <w:t>-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企业平均超速次数）</w:t>
            </w:r>
            <w:r w:rsidRPr="00E3318C">
              <w:rPr>
                <w:rFonts w:eastAsia="宋体"/>
                <w:sz w:val="18"/>
                <w:szCs w:val="18"/>
              </w:rPr>
              <w:t>/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区域平均车辆超速次数〕</w:t>
            </w:r>
            <w:r w:rsidRPr="00E3318C">
              <w:rPr>
                <w:rFonts w:eastAsia="宋体"/>
                <w:sz w:val="18"/>
                <w:szCs w:val="18"/>
              </w:rPr>
              <w:t>*13</w:t>
            </w:r>
          </w:p>
        </w:tc>
        <w:tc>
          <w:tcPr>
            <w:tcW w:w="900" w:type="dxa"/>
            <w:vMerge w:val="restart"/>
            <w:vAlign w:val="center"/>
          </w:tcPr>
          <w:p w:rsidR="009F5D8F" w:rsidRPr="00E3318C" w:rsidRDefault="009F5D8F">
            <w:pPr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</w:tr>
      <w:tr w:rsidR="009F5D8F" w:rsidRPr="00E3318C" w:rsidTr="00B447A7">
        <w:trPr>
          <w:trHeight w:val="1120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高于区域平均车辆超速次数且小于区域平均车辆超速次数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倍的，〔（企业平均超速次数</w:t>
            </w:r>
            <w:r w:rsidRPr="00E3318C">
              <w:rPr>
                <w:rFonts w:eastAsia="宋体"/>
                <w:sz w:val="18"/>
                <w:szCs w:val="18"/>
              </w:rPr>
              <w:t>-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区域平均车辆超速次数）</w:t>
            </w:r>
            <w:r w:rsidRPr="00E3318C">
              <w:rPr>
                <w:rFonts w:eastAsia="宋体"/>
                <w:sz w:val="18"/>
                <w:szCs w:val="18"/>
              </w:rPr>
              <w:t>/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区域平均车辆超速次数〕</w:t>
            </w:r>
            <w:r w:rsidRPr="00E3318C">
              <w:rPr>
                <w:rFonts w:eastAsia="宋体"/>
                <w:sz w:val="18"/>
                <w:szCs w:val="18"/>
              </w:rPr>
              <w:t>*13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；大于等于区域平均车辆超速次数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倍的，不得分。</w:t>
            </w:r>
          </w:p>
        </w:tc>
        <w:tc>
          <w:tcPr>
            <w:tcW w:w="900" w:type="dxa"/>
            <w:vMerge/>
            <w:vAlign w:val="center"/>
          </w:tcPr>
          <w:p w:rsidR="009F5D8F" w:rsidRPr="00E3318C" w:rsidRDefault="009F5D8F">
            <w:pPr>
              <w:rPr>
                <w:rFonts w:eastAsia="宋体" w:cs="Times New Roman"/>
                <w:sz w:val="18"/>
                <w:szCs w:val="18"/>
              </w:rPr>
            </w:pPr>
          </w:p>
        </w:tc>
      </w:tr>
      <w:tr w:rsidR="009F5D8F" w:rsidRPr="00E3318C" w:rsidTr="00B447A7">
        <w:trPr>
          <w:trHeight w:val="420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违法违规情况（</w:t>
            </w:r>
            <w:r w:rsidRPr="00E3318C">
              <w:rPr>
                <w:rFonts w:eastAsia="宋体"/>
                <w:sz w:val="18"/>
                <w:szCs w:val="18"/>
              </w:rPr>
              <w:t>52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分，考核客运业户</w:t>
            </w:r>
          </w:p>
        </w:tc>
        <w:tc>
          <w:tcPr>
            <w:tcW w:w="672" w:type="dxa"/>
            <w:vMerge w:val="restart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平均车辆超速次数</w:t>
            </w:r>
          </w:p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（</w:t>
            </w:r>
            <w:r w:rsidRPr="00E3318C">
              <w:rPr>
                <w:rFonts w:eastAsia="宋体"/>
                <w:sz w:val="18"/>
                <w:szCs w:val="18"/>
              </w:rPr>
              <w:t>16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小于等于区域平均车辆超速次数的，</w:t>
            </w:r>
            <w:r w:rsidRPr="00E3318C">
              <w:rPr>
                <w:rFonts w:eastAsia="宋体"/>
                <w:sz w:val="18"/>
                <w:szCs w:val="18"/>
              </w:rPr>
              <w:t>8+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〔（区域平均车辆超速次数</w:t>
            </w:r>
            <w:r w:rsidRPr="00E3318C">
              <w:rPr>
                <w:rFonts w:eastAsia="宋体"/>
                <w:sz w:val="18"/>
                <w:szCs w:val="18"/>
              </w:rPr>
              <w:t>-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企业平均超速次数）</w:t>
            </w:r>
            <w:r w:rsidRPr="00E3318C">
              <w:rPr>
                <w:rFonts w:eastAsia="宋体"/>
                <w:sz w:val="18"/>
                <w:szCs w:val="18"/>
              </w:rPr>
              <w:t>/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区域平均车辆超速次数〕</w:t>
            </w:r>
            <w:r w:rsidRPr="00E3318C">
              <w:rPr>
                <w:rFonts w:eastAsia="宋体"/>
                <w:sz w:val="18"/>
                <w:szCs w:val="18"/>
              </w:rPr>
              <w:t>*8</w:t>
            </w:r>
          </w:p>
        </w:tc>
        <w:tc>
          <w:tcPr>
            <w:tcW w:w="900" w:type="dxa"/>
            <w:vMerge w:val="restart"/>
            <w:vAlign w:val="center"/>
          </w:tcPr>
          <w:p w:rsidR="009F5D8F" w:rsidRPr="00E3318C" w:rsidRDefault="009F5D8F">
            <w:pPr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ascii="楷体" w:eastAsia="宋体" w:hAnsi="楷体" w:cs="楷体"/>
                <w:sz w:val="18"/>
                <w:szCs w:val="18"/>
              </w:rPr>
              <w:t>16</w:t>
            </w:r>
          </w:p>
        </w:tc>
      </w:tr>
      <w:tr w:rsidR="009F5D8F" w:rsidRPr="00E3318C" w:rsidTr="00B447A7">
        <w:trPr>
          <w:trHeight w:val="1255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高于区域平均车辆超速次数且小于区域平均车辆超速次数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倍的，〔（企业平均超速次数</w:t>
            </w:r>
            <w:r w:rsidRPr="00E3318C">
              <w:rPr>
                <w:rFonts w:eastAsia="宋体"/>
                <w:sz w:val="18"/>
                <w:szCs w:val="18"/>
              </w:rPr>
              <w:t>-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区域平均车辆超速次数）</w:t>
            </w:r>
            <w:r w:rsidRPr="00E3318C">
              <w:rPr>
                <w:rFonts w:eastAsia="宋体"/>
                <w:sz w:val="18"/>
                <w:szCs w:val="18"/>
              </w:rPr>
              <w:t>/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区域平均车辆超速次数〕</w:t>
            </w:r>
            <w:r w:rsidRPr="00E3318C">
              <w:rPr>
                <w:rFonts w:eastAsia="宋体"/>
                <w:sz w:val="18"/>
                <w:szCs w:val="18"/>
              </w:rPr>
              <w:t>*8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；大于等于区域平均车辆超速次数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倍的，不得分。</w:t>
            </w:r>
          </w:p>
        </w:tc>
        <w:tc>
          <w:tcPr>
            <w:tcW w:w="900" w:type="dxa"/>
            <w:vMerge/>
            <w:vAlign w:val="center"/>
          </w:tcPr>
          <w:p w:rsidR="009F5D8F" w:rsidRPr="00E3318C" w:rsidRDefault="009F5D8F">
            <w:pPr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</w:tr>
      <w:tr w:rsidR="009F5D8F" w:rsidRPr="00E3318C" w:rsidTr="00B447A7">
        <w:trPr>
          <w:trHeight w:val="285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平均疲劳驾驶时长</w:t>
            </w:r>
          </w:p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（</w:t>
            </w:r>
            <w:r w:rsidRPr="00E3318C">
              <w:rPr>
                <w:rFonts w:eastAsia="宋体"/>
                <w:sz w:val="18"/>
                <w:szCs w:val="18"/>
              </w:rPr>
              <w:t>16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小于等于区域平均车辆超疲劳驾驶时长的，</w:t>
            </w:r>
            <w:r w:rsidRPr="00E3318C">
              <w:rPr>
                <w:rFonts w:eastAsia="宋体"/>
                <w:sz w:val="18"/>
                <w:szCs w:val="18"/>
              </w:rPr>
              <w:t>8+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〔（区域平均车辆疲劳驾驶时长</w:t>
            </w:r>
            <w:r w:rsidRPr="00E3318C">
              <w:rPr>
                <w:rFonts w:eastAsia="宋体"/>
                <w:sz w:val="18"/>
                <w:szCs w:val="18"/>
              </w:rPr>
              <w:t>-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企业平均疲劳驾驶时长）</w:t>
            </w:r>
            <w:r w:rsidRPr="00E3318C">
              <w:rPr>
                <w:rFonts w:eastAsia="宋体"/>
                <w:sz w:val="18"/>
                <w:szCs w:val="18"/>
              </w:rPr>
              <w:t>/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区域平均车辆疲劳驾驶时长〕</w:t>
            </w:r>
            <w:r w:rsidRPr="00E3318C">
              <w:rPr>
                <w:rFonts w:eastAsia="宋体"/>
                <w:sz w:val="18"/>
                <w:szCs w:val="18"/>
              </w:rPr>
              <w:t>*8</w:t>
            </w:r>
          </w:p>
        </w:tc>
        <w:tc>
          <w:tcPr>
            <w:tcW w:w="900" w:type="dxa"/>
            <w:vMerge w:val="restart"/>
            <w:vAlign w:val="center"/>
          </w:tcPr>
          <w:p w:rsidR="009F5D8F" w:rsidRPr="00E3318C" w:rsidRDefault="009F5D8F">
            <w:pPr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ascii="楷体" w:eastAsia="宋体" w:hAnsi="楷体" w:cs="楷体"/>
                <w:sz w:val="18"/>
                <w:szCs w:val="18"/>
              </w:rPr>
              <w:t>16</w:t>
            </w:r>
          </w:p>
        </w:tc>
      </w:tr>
      <w:tr w:rsidR="009F5D8F" w:rsidRPr="00E3318C" w:rsidTr="00B447A7">
        <w:trPr>
          <w:trHeight w:val="1240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高于区域平均车辆疲劳驾驶时长且小于区域平均车辆疲劳驾驶时长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倍的，〔（企业平均疲劳驾驶时长</w:t>
            </w:r>
            <w:r w:rsidRPr="00E3318C">
              <w:rPr>
                <w:rFonts w:eastAsia="宋体"/>
                <w:sz w:val="18"/>
                <w:szCs w:val="18"/>
              </w:rPr>
              <w:t>-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区域平均车辆疲劳驾驶时长）</w:t>
            </w:r>
            <w:r w:rsidRPr="00E3318C">
              <w:rPr>
                <w:rFonts w:eastAsia="宋体"/>
                <w:sz w:val="18"/>
                <w:szCs w:val="18"/>
              </w:rPr>
              <w:t>/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区域平均车辆疲劳驾驶时长〕</w:t>
            </w:r>
            <w:r w:rsidRPr="00E3318C">
              <w:rPr>
                <w:rFonts w:eastAsia="宋体"/>
                <w:sz w:val="18"/>
                <w:szCs w:val="18"/>
              </w:rPr>
              <w:t>*8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；大于等于区域平均车辆疲劳驾驶时长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倍的，不得分。</w:t>
            </w:r>
          </w:p>
        </w:tc>
        <w:tc>
          <w:tcPr>
            <w:tcW w:w="900" w:type="dxa"/>
            <w:vMerge/>
            <w:vAlign w:val="center"/>
          </w:tcPr>
          <w:p w:rsidR="009F5D8F" w:rsidRPr="00E3318C" w:rsidRDefault="009F5D8F">
            <w:pPr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</w:tr>
      <w:tr w:rsidR="009F5D8F" w:rsidRPr="00E3318C" w:rsidTr="00B447A7">
        <w:trPr>
          <w:trHeight w:val="1040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车辆违法违规率（</w:t>
            </w:r>
            <w:r w:rsidRPr="00E3318C">
              <w:rPr>
                <w:rFonts w:eastAsia="宋体"/>
                <w:sz w:val="18"/>
                <w:szCs w:val="18"/>
              </w:rPr>
              <w:t>20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违反凌晨</w:t>
            </w:r>
            <w:r w:rsidRPr="00E3318C">
              <w:rPr>
                <w:rFonts w:eastAsia="宋体"/>
                <w:sz w:val="18"/>
                <w:szCs w:val="18"/>
              </w:rPr>
              <w:t>2-5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时违规运行、不按线路行驶等内容，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每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3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辆次扣</w:t>
            </w:r>
            <w:r>
              <w:rPr>
                <w:rFonts w:ascii="仿宋_GB2312" w:eastAsia="宋体" w:hAnsi="仿宋_GB2312" w:cs="仿宋_GB2312"/>
                <w:sz w:val="18"/>
                <w:szCs w:val="18"/>
              </w:rPr>
              <w:t>1</w:t>
            </w:r>
            <w:r>
              <w:rPr>
                <w:rFonts w:ascii="仿宋_GB2312" w:eastAsia="宋体" w:hAnsi="仿宋_GB2312" w:cs="宋体" w:hint="eastAsia"/>
                <w:sz w:val="18"/>
                <w:szCs w:val="18"/>
              </w:rPr>
              <w:t>分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。</w:t>
            </w:r>
          </w:p>
        </w:tc>
        <w:tc>
          <w:tcPr>
            <w:tcW w:w="900" w:type="dxa"/>
            <w:vAlign w:val="center"/>
          </w:tcPr>
          <w:p w:rsidR="009F5D8F" w:rsidRPr="00E3318C" w:rsidRDefault="009F5D8F">
            <w:pPr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ascii="楷体" w:eastAsia="宋体" w:hAnsi="楷体" w:cs="楷体"/>
                <w:sz w:val="18"/>
                <w:szCs w:val="18"/>
              </w:rPr>
              <w:t>20</w:t>
            </w:r>
          </w:p>
        </w:tc>
      </w:tr>
      <w:tr w:rsidR="009F5D8F" w:rsidRPr="00E3318C" w:rsidTr="00B447A7">
        <w:trPr>
          <w:trHeight w:val="1548"/>
        </w:trPr>
        <w:tc>
          <w:tcPr>
            <w:tcW w:w="1092" w:type="dxa"/>
            <w:vMerge w:val="restart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运营管理</w:t>
            </w:r>
          </w:p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（</w:t>
            </w:r>
            <w:r w:rsidRPr="00E3318C">
              <w:rPr>
                <w:rFonts w:eastAsia="宋体"/>
                <w:sz w:val="18"/>
                <w:szCs w:val="18"/>
              </w:rPr>
              <w:t>15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2076" w:type="dxa"/>
            <w:gridSpan w:val="2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档案管理</w:t>
            </w:r>
          </w:p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（</w:t>
            </w:r>
            <w:r w:rsidRPr="00E3318C">
              <w:rPr>
                <w:rFonts w:eastAsia="宋体"/>
                <w:sz w:val="18"/>
                <w:szCs w:val="18"/>
              </w:rPr>
              <w:t>10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上传营运车辆台帐，与平台实际车辆数对比，每发现</w:t>
            </w:r>
            <w:r w:rsidRPr="00E3318C">
              <w:rPr>
                <w:rFonts w:eastAsia="宋体"/>
                <w:sz w:val="18"/>
                <w:szCs w:val="18"/>
              </w:rPr>
              <w:t>1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辆有出入扣</w:t>
            </w:r>
            <w:r w:rsidRPr="00E3318C">
              <w:rPr>
                <w:rFonts w:eastAsia="宋体"/>
                <w:sz w:val="18"/>
                <w:szCs w:val="18"/>
              </w:rPr>
              <w:t>1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；交接班记录，交班和接班无签名不得分；制作每日离线车辆排查报表；制作每日停班车辆报表；制作终端维护报表；违章车辆汇总表（含超速，疲劳驾驶等），终端维护报表与违章车辆报表需有维护单据和处罚档案，两者不匹配不得分。以上档案数值有出入的，以平台原始数据为准，错误档案全部不得分。缺失一项扣</w:t>
            </w:r>
            <w:r w:rsidRPr="00E3318C">
              <w:rPr>
                <w:rFonts w:eastAsia="宋体"/>
                <w:sz w:val="18"/>
                <w:szCs w:val="18"/>
              </w:rPr>
              <w:t>4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分，三项以上缺失该次考评定为</w:t>
            </w:r>
            <w:r w:rsidRPr="00E3318C">
              <w:rPr>
                <w:rFonts w:eastAsia="宋体"/>
                <w:sz w:val="18"/>
                <w:szCs w:val="18"/>
              </w:rPr>
              <w:t>0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分。未抄送上传车辆台帐和违章车辆报表给相关管理部门的，该项不得分。</w:t>
            </w:r>
          </w:p>
        </w:tc>
        <w:tc>
          <w:tcPr>
            <w:tcW w:w="900" w:type="dxa"/>
            <w:vAlign w:val="center"/>
          </w:tcPr>
          <w:p w:rsidR="009F5D8F" w:rsidRPr="00E3318C" w:rsidRDefault="009F5D8F">
            <w:pPr>
              <w:jc w:val="center"/>
              <w:rPr>
                <w:rFonts w:eastAsia="宋体"/>
                <w:sz w:val="18"/>
                <w:szCs w:val="18"/>
              </w:rPr>
            </w:pPr>
            <w:r w:rsidRPr="00E3318C">
              <w:rPr>
                <w:rFonts w:eastAsia="宋体"/>
                <w:sz w:val="18"/>
                <w:szCs w:val="18"/>
              </w:rPr>
              <w:t>10</w:t>
            </w:r>
          </w:p>
        </w:tc>
      </w:tr>
      <w:tr w:rsidR="009F5D8F" w:rsidRPr="00E3318C" w:rsidTr="00B447A7">
        <w:trPr>
          <w:trHeight w:val="531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数据上传</w:t>
            </w:r>
          </w:p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（</w:t>
            </w:r>
            <w:r w:rsidRPr="00E3318C">
              <w:rPr>
                <w:rFonts w:eastAsia="宋体"/>
                <w:sz w:val="18"/>
                <w:szCs w:val="18"/>
              </w:rPr>
              <w:t>1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超过</w:t>
            </w:r>
            <w:r w:rsidRPr="00E3318C">
              <w:rPr>
                <w:rFonts w:eastAsia="宋体"/>
                <w:sz w:val="18"/>
                <w:szCs w:val="18"/>
              </w:rPr>
              <w:t>20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秒</w:t>
            </w:r>
            <w:r w:rsidRPr="00E3318C">
              <w:rPr>
                <w:rFonts w:eastAsia="宋体"/>
                <w:sz w:val="18"/>
                <w:szCs w:val="18"/>
              </w:rPr>
              <w:t>/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次的，每</w:t>
            </w:r>
            <w:r w:rsidRPr="00E3318C">
              <w:rPr>
                <w:rFonts w:eastAsia="宋体"/>
                <w:sz w:val="18"/>
                <w:szCs w:val="18"/>
              </w:rPr>
              <w:t>1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辆扣</w:t>
            </w:r>
            <w:r w:rsidRPr="00E3318C">
              <w:rPr>
                <w:rFonts w:eastAsia="宋体"/>
                <w:sz w:val="18"/>
                <w:szCs w:val="18"/>
              </w:rPr>
              <w:t>1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900" w:type="dxa"/>
            <w:vAlign w:val="center"/>
          </w:tcPr>
          <w:p w:rsidR="009F5D8F" w:rsidRPr="00E3318C" w:rsidRDefault="009F5D8F">
            <w:pPr>
              <w:jc w:val="center"/>
              <w:rPr>
                <w:rFonts w:eastAsia="宋体"/>
                <w:sz w:val="18"/>
                <w:szCs w:val="18"/>
              </w:rPr>
            </w:pPr>
            <w:r w:rsidRPr="00E3318C">
              <w:rPr>
                <w:rFonts w:eastAsia="宋体"/>
                <w:sz w:val="18"/>
                <w:szCs w:val="18"/>
              </w:rPr>
              <w:t>1</w:t>
            </w:r>
          </w:p>
        </w:tc>
      </w:tr>
      <w:tr w:rsidR="009F5D8F" w:rsidRPr="00E3318C" w:rsidTr="00B447A7">
        <w:trPr>
          <w:trHeight w:val="420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协调配合</w:t>
            </w:r>
          </w:p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（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按要求完成管理部门下达的各项工作，包括按照上级要求提供数据、平台技术升级、功能开发的落实情况等，未完成</w:t>
            </w:r>
            <w:r w:rsidRPr="00E3318C">
              <w:rPr>
                <w:rFonts w:eastAsia="宋体"/>
                <w:sz w:val="18"/>
                <w:szCs w:val="18"/>
              </w:rPr>
              <w:t>1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次扣</w:t>
            </w:r>
            <w:r w:rsidRPr="00E3318C">
              <w:rPr>
                <w:rFonts w:eastAsia="宋体"/>
                <w:sz w:val="18"/>
                <w:szCs w:val="18"/>
              </w:rPr>
              <w:t>1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分。该项</w:t>
            </w:r>
            <w:r w:rsidRPr="00E3318C">
              <w:rPr>
                <w:rFonts w:eastAsia="宋体"/>
                <w:sz w:val="18"/>
                <w:szCs w:val="18"/>
              </w:rPr>
              <w:t>0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分的本次考评定为不合格。</w:t>
            </w:r>
          </w:p>
        </w:tc>
        <w:tc>
          <w:tcPr>
            <w:tcW w:w="900" w:type="dxa"/>
            <w:vAlign w:val="center"/>
          </w:tcPr>
          <w:p w:rsidR="009F5D8F" w:rsidRPr="00E3318C" w:rsidRDefault="009F5D8F">
            <w:pPr>
              <w:jc w:val="center"/>
              <w:rPr>
                <w:rFonts w:eastAsia="宋体"/>
                <w:sz w:val="18"/>
                <w:szCs w:val="18"/>
              </w:rPr>
            </w:pPr>
            <w:r w:rsidRPr="00E3318C">
              <w:rPr>
                <w:rFonts w:eastAsia="宋体"/>
                <w:sz w:val="18"/>
                <w:szCs w:val="18"/>
              </w:rPr>
              <w:t>2</w:t>
            </w:r>
          </w:p>
        </w:tc>
      </w:tr>
      <w:tr w:rsidR="009F5D8F" w:rsidRPr="00E3318C" w:rsidTr="00B447A7">
        <w:trPr>
          <w:trHeight w:val="525"/>
        </w:trPr>
        <w:tc>
          <w:tcPr>
            <w:tcW w:w="1092" w:type="dxa"/>
            <w:vMerge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数据保存</w:t>
            </w:r>
          </w:p>
          <w:p w:rsidR="009F5D8F" w:rsidRPr="00E3318C" w:rsidRDefault="009F5D8F">
            <w:pPr>
              <w:spacing w:line="280" w:lineRule="exact"/>
              <w:jc w:val="center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（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分）</w:t>
            </w:r>
          </w:p>
        </w:tc>
        <w:tc>
          <w:tcPr>
            <w:tcW w:w="5760" w:type="dxa"/>
            <w:vAlign w:val="center"/>
          </w:tcPr>
          <w:p w:rsidR="009F5D8F" w:rsidRPr="00E3318C" w:rsidRDefault="009F5D8F">
            <w:pPr>
              <w:spacing w:line="280" w:lineRule="exact"/>
              <w:rPr>
                <w:rFonts w:eastAsia="宋体" w:cs="Times New Roman"/>
                <w:sz w:val="18"/>
                <w:szCs w:val="18"/>
              </w:rPr>
            </w:pPr>
            <w:r w:rsidRPr="00E3318C">
              <w:rPr>
                <w:rFonts w:eastAsia="宋体" w:cs="宋体" w:hint="eastAsia"/>
                <w:sz w:val="18"/>
                <w:szCs w:val="18"/>
              </w:rPr>
              <w:t>违法违规驾驶及处理信息存档情况（其中动态监控数据应当至少保存</w:t>
            </w:r>
            <w:r w:rsidRPr="00E3318C">
              <w:rPr>
                <w:rFonts w:eastAsia="宋体"/>
                <w:sz w:val="18"/>
                <w:szCs w:val="18"/>
              </w:rPr>
              <w:t>6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个月，违法驾驶信息及处理情况应当至少保存</w:t>
            </w:r>
            <w:r w:rsidRPr="00E3318C">
              <w:rPr>
                <w:rFonts w:eastAsia="宋体"/>
                <w:sz w:val="18"/>
                <w:szCs w:val="18"/>
              </w:rPr>
              <w:t>3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年），未保存的扣</w:t>
            </w:r>
            <w:r w:rsidRPr="00E3318C">
              <w:rPr>
                <w:rFonts w:eastAsia="宋体"/>
                <w:sz w:val="18"/>
                <w:szCs w:val="18"/>
              </w:rPr>
              <w:t>2</w:t>
            </w:r>
            <w:r w:rsidRPr="00E3318C">
              <w:rPr>
                <w:rFonts w:eastAsia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900" w:type="dxa"/>
            <w:vAlign w:val="center"/>
          </w:tcPr>
          <w:p w:rsidR="009F5D8F" w:rsidRPr="00E3318C" w:rsidRDefault="009F5D8F">
            <w:pPr>
              <w:jc w:val="center"/>
              <w:rPr>
                <w:rFonts w:eastAsia="宋体"/>
                <w:sz w:val="18"/>
                <w:szCs w:val="18"/>
              </w:rPr>
            </w:pPr>
            <w:r w:rsidRPr="00E3318C">
              <w:rPr>
                <w:rFonts w:eastAsia="宋体"/>
                <w:sz w:val="18"/>
                <w:szCs w:val="18"/>
              </w:rPr>
              <w:t>2</w:t>
            </w:r>
          </w:p>
        </w:tc>
      </w:tr>
    </w:tbl>
    <w:p w:rsidR="009F5D8F" w:rsidRDefault="009F5D8F">
      <w:pPr>
        <w:rPr>
          <w:rFonts w:eastAsia="宋体" w:cs="Times New Roman"/>
          <w:sz w:val="18"/>
          <w:szCs w:val="18"/>
        </w:rPr>
      </w:pPr>
      <w:bookmarkStart w:id="0" w:name="_GoBack"/>
      <w:bookmarkEnd w:id="0"/>
    </w:p>
    <w:sectPr w:rsidR="009F5D8F" w:rsidSect="00B447A7">
      <w:footerReference w:type="default" r:id="rId6"/>
      <w:pgSz w:w="11906" w:h="16838"/>
      <w:pgMar w:top="1701" w:right="1247" w:bottom="1134" w:left="1247" w:header="851" w:footer="1355" w:gutter="0"/>
      <w:cols w:space="720"/>
      <w:docGrid w:type="linesAndChars" w:linePitch="5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D8F" w:rsidRDefault="009F5D8F" w:rsidP="00C12E3E">
      <w:r>
        <w:separator/>
      </w:r>
    </w:p>
  </w:endnote>
  <w:endnote w:type="continuationSeparator" w:id="0">
    <w:p w:rsidR="009F5D8F" w:rsidRDefault="009F5D8F" w:rsidP="00C12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ang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8F" w:rsidRDefault="009F5D8F" w:rsidP="00B447A7">
    <w:pPr>
      <w:pStyle w:val="Footer"/>
      <w:ind w:firstLineChars="111" w:firstLine="31680"/>
      <w:jc w:val="right"/>
      <w:rPr>
        <w:sz w:val="28"/>
        <w:szCs w:val="28"/>
      </w:rPr>
    </w:pPr>
    <w:r>
      <w:rPr>
        <w:rStyle w:val="PageNumber"/>
        <w:sz w:val="28"/>
        <w:szCs w:val="28"/>
      </w:rPr>
      <w:t xml:space="preserve">— </w:t>
    </w: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>PAGE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>
      <w:rPr>
        <w:rStyle w:val="PageNumber"/>
        <w:sz w:val="28"/>
        <w:szCs w:val="28"/>
      </w:rPr>
      <w:fldChar w:fldCharType="end"/>
    </w:r>
    <w:r>
      <w:rPr>
        <w:rStyle w:val="PageNumber"/>
        <w:sz w:val="28"/>
        <w:szCs w:val="28"/>
      </w:rPr>
      <w:t xml:space="preserve"> —</w:t>
    </w:r>
  </w:p>
  <w:p w:rsidR="009F5D8F" w:rsidRDefault="009F5D8F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D8F" w:rsidRDefault="009F5D8F" w:rsidP="00C12E3E">
      <w:r>
        <w:separator/>
      </w:r>
    </w:p>
  </w:footnote>
  <w:footnote w:type="continuationSeparator" w:id="0">
    <w:p w:rsidR="009F5D8F" w:rsidRDefault="009F5D8F" w:rsidP="00C12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E3E"/>
    <w:rsid w:val="009F5D8F"/>
    <w:rsid w:val="00B447A7"/>
    <w:rsid w:val="00BC0A2B"/>
    <w:rsid w:val="00C12E3E"/>
    <w:rsid w:val="00E3318C"/>
    <w:rsid w:val="012903D2"/>
    <w:rsid w:val="253A01A2"/>
    <w:rsid w:val="285A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??" w:hAnsi="??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3E"/>
    <w:pPr>
      <w:widowControl w:val="0"/>
      <w:jc w:val="both"/>
    </w:pPr>
    <w:rPr>
      <w:rFonts w:cs="??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2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009BA"/>
    <w:rPr>
      <w:rFonts w:cs="??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rsid w:val="00C12E3E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009BA"/>
    <w:rPr>
      <w:rFonts w:cs="??"/>
      <w:kern w:val="0"/>
      <w:sz w:val="18"/>
      <w:szCs w:val="18"/>
    </w:rPr>
  </w:style>
  <w:style w:type="table" w:styleId="TableGrid">
    <w:name w:val="Table Grid"/>
    <w:basedOn w:val="TableNormal"/>
    <w:uiPriority w:val="99"/>
    <w:rsid w:val="00C12E3E"/>
    <w:rPr>
      <w:rFonts w:cs="??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PageNumber">
    <w:name w:val="page number"/>
    <w:basedOn w:val="DefaultParagraphFont"/>
    <w:uiPriority w:val="99"/>
    <w:rsid w:val="00C12E3E"/>
  </w:style>
  <w:style w:type="character" w:customStyle="1" w:styleId="a">
    <w:name w:val="页眉 字符"/>
    <w:basedOn w:val="DefaultParagraphFont"/>
    <w:uiPriority w:val="99"/>
    <w:rsid w:val="00C12E3E"/>
    <w:rPr>
      <w:sz w:val="18"/>
      <w:szCs w:val="18"/>
    </w:rPr>
  </w:style>
  <w:style w:type="character" w:customStyle="1" w:styleId="a0">
    <w:name w:val="页脚 字符"/>
    <w:basedOn w:val="DefaultParagraphFont"/>
    <w:uiPriority w:val="99"/>
    <w:rsid w:val="00C12E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303</Words>
  <Characters>1730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 镦</dc:creator>
  <cp:keywords/>
  <dc:description/>
  <cp:lastModifiedBy>hp</cp:lastModifiedBy>
  <cp:revision>8</cp:revision>
  <dcterms:created xsi:type="dcterms:W3CDTF">2018-04-20T08:19:00Z</dcterms:created>
  <dcterms:modified xsi:type="dcterms:W3CDTF">2019-09-26T08:05:00Z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