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51" w:rsidRDefault="00E32651">
      <w:pPr>
        <w:spacing w:line="600" w:lineRule="exact"/>
        <w:rPr>
          <w:rFonts w:eastAsia="方正小标宋简体" w:cs="Times New Roma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8</w:t>
      </w:r>
    </w:p>
    <w:p w:rsidR="00E32651" w:rsidRDefault="00E32651">
      <w:pPr>
        <w:spacing w:line="600" w:lineRule="exact"/>
        <w:jc w:val="center"/>
        <w:rPr>
          <w:rFonts w:eastAsia="方正小标宋简体" w:cs="Times New Roman"/>
        </w:rPr>
      </w:pPr>
      <w:r>
        <w:rPr>
          <w:rFonts w:eastAsia="方正小标宋简体" w:cs="方正小标宋简体" w:hint="eastAsia"/>
        </w:rPr>
        <w:t>道路运输经营者考核表</w:t>
      </w:r>
    </w:p>
    <w:p w:rsidR="00E32651" w:rsidRDefault="00E32651">
      <w:pPr>
        <w:spacing w:line="60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道路运输经营者：泉州市安溪华丽晶运输有限公司</w:t>
      </w:r>
      <w:r>
        <w:rPr>
          <w:rFonts w:ascii="宋体" w:eastAsia="宋体" w:hAnsi="宋体" w:cs="宋体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sz w:val="18"/>
          <w:szCs w:val="18"/>
        </w:rPr>
        <w:t>总得分：</w:t>
      </w:r>
      <w:r>
        <w:rPr>
          <w:rFonts w:ascii="宋体" w:eastAsia="宋体" w:hAnsi="宋体" w:cs="宋体"/>
          <w:sz w:val="18"/>
          <w:szCs w:val="18"/>
        </w:rPr>
        <w:t>99.74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1404"/>
        <w:gridCol w:w="672"/>
        <w:gridCol w:w="5437"/>
        <w:gridCol w:w="1223"/>
      </w:tblGrid>
      <w:tr w:rsidR="00E32651" w:rsidRPr="00975D87" w:rsidTr="00656DA6">
        <w:trPr>
          <w:trHeight w:val="624"/>
        </w:trPr>
        <w:tc>
          <w:tcPr>
            <w:tcW w:w="1092" w:type="dxa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考评项</w:t>
            </w: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考核内容</w:t>
            </w:r>
          </w:p>
        </w:tc>
        <w:tc>
          <w:tcPr>
            <w:tcW w:w="5437" w:type="dxa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记分标准（总分：</w:t>
            </w:r>
            <w:r>
              <w:rPr>
                <w:rFonts w:ascii="宋体" w:eastAsia="宋体" w:hAnsi="宋体" w:cs="宋体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得分</w:t>
            </w:r>
          </w:p>
        </w:tc>
      </w:tr>
      <w:tr w:rsidR="00E32651" w:rsidRPr="00975D87" w:rsidTr="00656DA6">
        <w:trPr>
          <w:trHeight w:val="1173"/>
        </w:trPr>
        <w:tc>
          <w:tcPr>
            <w:tcW w:w="1092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基础硬件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E32651" w:rsidRDefault="00E32651" w:rsidP="00E32651">
            <w:pPr>
              <w:spacing w:line="280" w:lineRule="exact"/>
              <w:ind w:firstLineChars="150" w:firstLine="316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制度建设</w:t>
            </w:r>
          </w:p>
          <w:p w:rsidR="00E32651" w:rsidRDefault="00E32651">
            <w:pPr>
              <w:spacing w:line="280" w:lineRule="exact"/>
              <w:ind w:firstLine="404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建立监控平台的建设、维护及管理制度；车载终端安装、使用及维护制度；监控人员岗位职责及管理制度；交通违法动态信息处理和统计分析制度；应急突发事件处理制度。</w:t>
            </w:r>
          </w:p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少一项制度扣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分，两项以上不得分，现场检查，执行不力不得分，制度未上墙的不得分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  <w:tr w:rsidR="00E32651" w:rsidRPr="00975D87" w:rsidTr="00656DA6">
        <w:trPr>
          <w:trHeight w:val="1055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人员保障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技术维护人员达到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人得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分；少于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人不得分；服务车辆超过</w:t>
            </w:r>
            <w:r>
              <w:rPr>
                <w:rFonts w:ascii="宋体" w:eastAsia="宋体" w:hAnsi="宋体" w:cs="宋体"/>
                <w:sz w:val="18"/>
                <w:szCs w:val="18"/>
              </w:rPr>
              <w:t>300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辆后每增加</w:t>
            </w:r>
            <w:r>
              <w:rPr>
                <w:rFonts w:ascii="宋体" w:eastAsia="宋体" w:hAnsi="宋体" w:cs="宋体"/>
                <w:sz w:val="18"/>
                <w:szCs w:val="18"/>
              </w:rPr>
              <w:t>300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辆增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人，少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分；非企业注册地，少于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人不得分；定期开展监控人员业务培训，未开展培训的扣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</w:tr>
      <w:tr w:rsidR="00E32651" w:rsidRPr="00975D87" w:rsidTr="00656DA6">
        <w:trPr>
          <w:trHeight w:val="547"/>
        </w:trPr>
        <w:tc>
          <w:tcPr>
            <w:tcW w:w="1092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技术指标（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80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车辆入网率（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统计周期内，企业出现每一辆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天未入网扣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分，扣完为止。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  <w:tr w:rsidR="00E32651" w:rsidRPr="00975D87" w:rsidTr="00656DA6">
        <w:trPr>
          <w:trHeight w:val="491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车辆上线率（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统计周期内，辖区内上线率低于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的，每低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个百分点扣</w:t>
            </w:r>
            <w:r>
              <w:rPr>
                <w:rFonts w:ascii="宋体" w:eastAsia="宋体" w:hAnsi="宋体" w:cs="宋体"/>
                <w:sz w:val="18"/>
                <w:szCs w:val="18"/>
              </w:rPr>
              <w:t>0.15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90%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2.89</w:t>
            </w:r>
          </w:p>
        </w:tc>
      </w:tr>
      <w:tr w:rsidR="00E32651" w:rsidRPr="00975D87" w:rsidTr="00656DA6">
        <w:trPr>
          <w:trHeight w:val="547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轨迹完整率（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统计周期内，辖区内车辆轨迹完整率分为三个梯度得分。分别为低于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70%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</w:t>
            </w:r>
            <w:r>
              <w:rPr>
                <w:rFonts w:ascii="宋体" w:eastAsia="宋体" w:hAnsi="宋体" w:cs="宋体"/>
                <w:sz w:val="18"/>
                <w:szCs w:val="18"/>
              </w:rPr>
              <w:t>97%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</w:t>
            </w:r>
            <w:r>
              <w:rPr>
                <w:rFonts w:ascii="宋体" w:eastAsia="宋体" w:hAnsi="宋体" w:cs="宋体"/>
                <w:sz w:val="18"/>
                <w:szCs w:val="18"/>
              </w:rPr>
              <w:t>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分；轨迹完整率在</w:t>
            </w:r>
            <w:r>
              <w:rPr>
                <w:rFonts w:ascii="宋体" w:eastAsia="宋体" w:hAnsi="宋体" w:cs="宋体"/>
                <w:sz w:val="18"/>
                <w:szCs w:val="18"/>
              </w:rPr>
              <w:t>70%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至</w:t>
            </w:r>
            <w:r>
              <w:rPr>
                <w:rFonts w:ascii="宋体" w:eastAsia="宋体" w:hAnsi="宋体" w:cs="宋体"/>
                <w:sz w:val="18"/>
                <w:szCs w:val="18"/>
              </w:rPr>
              <w:t>97%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之间的，每高于</w:t>
            </w:r>
            <w:r>
              <w:rPr>
                <w:rFonts w:ascii="宋体" w:eastAsia="宋体" w:hAnsi="宋体" w:cs="宋体"/>
                <w:sz w:val="18"/>
                <w:szCs w:val="18"/>
              </w:rPr>
              <w:t>70%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一个百分点得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0.30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分，不足一个百分点按比重线性得分；轨迹完整率在</w:t>
            </w:r>
            <w:r>
              <w:rPr>
                <w:rFonts w:ascii="宋体" w:eastAsia="宋体" w:hAnsi="宋体" w:cs="宋体"/>
                <w:sz w:val="18"/>
                <w:szCs w:val="18"/>
              </w:rPr>
              <w:t>97%-100%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之间的，每高于</w:t>
            </w:r>
            <w:r>
              <w:rPr>
                <w:rFonts w:ascii="宋体" w:eastAsia="宋体" w:hAnsi="宋体" w:cs="宋体"/>
                <w:sz w:val="18"/>
                <w:szCs w:val="18"/>
              </w:rPr>
              <w:t>97%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一个百分点得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0.67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分，不足一个百分点按比重线性得分；总分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9.87</w:t>
            </w:r>
          </w:p>
        </w:tc>
      </w:tr>
      <w:tr w:rsidR="00E32651" w:rsidRPr="00975D87" w:rsidTr="00656DA6">
        <w:trPr>
          <w:trHeight w:val="589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数据合格率（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统计周期内，辖区内数据合格率低于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的，每低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个百分点扣</w:t>
            </w:r>
            <w:r>
              <w:rPr>
                <w:rFonts w:ascii="宋体" w:eastAsia="宋体" w:hAnsi="宋体" w:cs="宋体"/>
                <w:sz w:val="18"/>
                <w:szCs w:val="18"/>
              </w:rPr>
              <w:t>0.1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80%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</w:tr>
      <w:tr w:rsidR="00E32651" w:rsidRPr="00975D87" w:rsidTr="00656DA6">
        <w:trPr>
          <w:trHeight w:val="9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卫星定位漂移车辆率（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定位漂移车辆率</w:t>
            </w:r>
            <w:r>
              <w:rPr>
                <w:rFonts w:ascii="宋体" w:eastAsia="宋体" w:hAnsi="宋体" w:cs="宋体"/>
                <w:sz w:val="18"/>
                <w:szCs w:val="18"/>
              </w:rPr>
              <w:t>*5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，高于</w:t>
            </w:r>
            <w:r>
              <w:rPr>
                <w:rFonts w:ascii="宋体" w:eastAsia="宋体" w:hAnsi="宋体" w:cs="宋体"/>
                <w:sz w:val="18"/>
                <w:szCs w:val="18"/>
              </w:rPr>
              <w:t>5%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不得分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4.98</w:t>
            </w:r>
          </w:p>
        </w:tc>
      </w:tr>
      <w:tr w:rsidR="00E32651" w:rsidRPr="00975D87" w:rsidTr="00656DA6">
        <w:trPr>
          <w:trHeight w:val="42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平台查岗响应率（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平台查岗响应率</w:t>
            </w:r>
            <w:r>
              <w:rPr>
                <w:rFonts w:ascii="宋体" w:eastAsia="宋体" w:hAnsi="宋体" w:cs="宋体"/>
                <w:sz w:val="18"/>
                <w:szCs w:val="18"/>
              </w:rPr>
              <w:t>*3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</w:tr>
      <w:tr w:rsidR="00E32651" w:rsidRPr="00975D87" w:rsidTr="00656DA6">
        <w:trPr>
          <w:trHeight w:val="42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违法违规情况（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分，考核货运业户）</w:t>
            </w:r>
          </w:p>
        </w:tc>
        <w:tc>
          <w:tcPr>
            <w:tcW w:w="672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平均疲劳驾驶时长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小于等于区域平均车辆超疲劳驾驶时长的，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13+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</w:p>
        </w:tc>
        <w:tc>
          <w:tcPr>
            <w:tcW w:w="1223" w:type="dxa"/>
            <w:vMerge w:val="restart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26</w:t>
            </w:r>
          </w:p>
        </w:tc>
      </w:tr>
      <w:tr w:rsidR="00E32651" w:rsidRPr="00975D87" w:rsidTr="00656DA6">
        <w:trPr>
          <w:trHeight w:val="131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E32651" w:rsidRDefault="00E326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32651" w:rsidRPr="00975D87" w:rsidTr="00656DA6">
        <w:trPr>
          <w:trHeight w:val="42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平均车辆超速次数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小于等于区域平均车辆超速次数的，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13+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</w:p>
        </w:tc>
        <w:tc>
          <w:tcPr>
            <w:tcW w:w="1223" w:type="dxa"/>
            <w:vMerge w:val="restart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26</w:t>
            </w:r>
          </w:p>
        </w:tc>
      </w:tr>
      <w:tr w:rsidR="00E32651" w:rsidRPr="00975D87" w:rsidTr="00656DA6">
        <w:trPr>
          <w:trHeight w:val="112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高于区域平均车辆超速次数且小于区域平均车辆超速次数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E32651" w:rsidRDefault="00E326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32651" w:rsidRPr="00975D87" w:rsidTr="00656DA6">
        <w:trPr>
          <w:trHeight w:val="42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违法违规情况（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分，考核客运业户</w:t>
            </w:r>
          </w:p>
        </w:tc>
        <w:tc>
          <w:tcPr>
            <w:tcW w:w="672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平均车辆超速次数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小于等于区域平均车辆超速次数的，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8+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</w:p>
        </w:tc>
        <w:tc>
          <w:tcPr>
            <w:tcW w:w="1223" w:type="dxa"/>
            <w:vMerge w:val="restart"/>
            <w:vAlign w:val="center"/>
          </w:tcPr>
          <w:p w:rsidR="00E32651" w:rsidRDefault="00E326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32651" w:rsidRPr="00975D87" w:rsidTr="00656DA6">
        <w:trPr>
          <w:trHeight w:val="1255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高于区域平均车辆超速次数且小于区域平均车辆超速次数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E32651" w:rsidRDefault="00E326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32651" w:rsidRPr="00975D87" w:rsidTr="00656DA6">
        <w:trPr>
          <w:trHeight w:val="285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平均疲劳驾驶时长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小于等于区域平均车辆超疲劳驾驶时长的，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8+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</w:p>
        </w:tc>
        <w:tc>
          <w:tcPr>
            <w:tcW w:w="1223" w:type="dxa"/>
            <w:vMerge w:val="restart"/>
            <w:vAlign w:val="center"/>
          </w:tcPr>
          <w:p w:rsidR="00E32651" w:rsidRDefault="00E326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32651" w:rsidRPr="00975D87" w:rsidTr="00656DA6">
        <w:trPr>
          <w:trHeight w:val="124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E32651" w:rsidRDefault="00E326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32651" w:rsidRPr="00975D87" w:rsidTr="00656DA6">
        <w:trPr>
          <w:trHeight w:val="104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车辆违法违规率（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违反凌晨</w:t>
            </w:r>
            <w:r>
              <w:rPr>
                <w:rFonts w:ascii="宋体" w:eastAsia="宋体" w:hAnsi="宋体" w:cs="宋体"/>
                <w:sz w:val="18"/>
                <w:szCs w:val="18"/>
              </w:rPr>
              <w:t>2-5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时违规运行、不按线路行驶等内容，每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辆次扣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32651" w:rsidRPr="00975D87" w:rsidTr="00656DA6">
        <w:trPr>
          <w:trHeight w:val="1548"/>
        </w:trPr>
        <w:tc>
          <w:tcPr>
            <w:tcW w:w="1092" w:type="dxa"/>
            <w:vMerge w:val="restart"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运营管理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档案管理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上传营运车辆台帐，与平台实际车辆数对比，每发现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辆有出入扣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交接班记录，交班和接班无签名不得分；制作每日离线车辆排查报表；制作每日停班车辆报表；制作终端维护报表；违章车辆汇总表（含超速，疲劳驾驶等），终端维护报表与违章车辆报表需有维护单据和处罚档案，两者不匹配不得分。以上档案数值有出入的，以平台原始数据为准，错误档案全部不得分。缺失一项扣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分，三项以上缺失该次考评定为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分。未抄送上传车辆台帐和违章车辆报表给相关管理部门的，该项不得分。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</w:tr>
      <w:tr w:rsidR="00E32651" w:rsidRPr="00975D87" w:rsidTr="00656DA6">
        <w:trPr>
          <w:trHeight w:val="531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数据上传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eastAsia="宋体" w:hAnsi="宋体" w:cs="宋体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秒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次的，每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</w:tr>
      <w:tr w:rsidR="00E32651" w:rsidRPr="00975D87" w:rsidTr="00656DA6">
        <w:trPr>
          <w:trHeight w:val="420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协调配合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按要求完成管理部门下达的各项工作，包括按照上级要求提供数据、平台技术升级、功能开发的落实情况等，未完成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分。该项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分的本次考评定为不合格。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  <w:tr w:rsidR="00E32651" w:rsidRPr="00975D87" w:rsidTr="00656DA6">
        <w:trPr>
          <w:trHeight w:val="525"/>
        </w:trPr>
        <w:tc>
          <w:tcPr>
            <w:tcW w:w="1092" w:type="dxa"/>
            <w:vMerge/>
            <w:vAlign w:val="center"/>
          </w:tcPr>
          <w:p w:rsidR="00E32651" w:rsidRDefault="00E32651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数据保存</w:t>
            </w:r>
          </w:p>
          <w:p w:rsidR="00E32651" w:rsidRDefault="00E32651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37" w:type="dxa"/>
            <w:vAlign w:val="center"/>
          </w:tcPr>
          <w:p w:rsidR="00E32651" w:rsidRDefault="00E32651" w:rsidP="00656DA6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违法违规驾驶及处理信息存档情况（其中动态监控数据应当至少保存</w:t>
            </w: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个月，违法驾驶信息及处理情况应当至少保存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年），未保存的扣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E32651" w:rsidRDefault="00E3265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</w:tbl>
    <w:p w:rsidR="00E32651" w:rsidRDefault="00E32651">
      <w:pPr>
        <w:rPr>
          <w:rFonts w:eastAsia="Times New Roman" w:cs="Times New Roman"/>
        </w:rPr>
      </w:pPr>
      <w:bookmarkStart w:id="0" w:name="_GoBack"/>
      <w:bookmarkEnd w:id="0"/>
    </w:p>
    <w:sectPr w:rsidR="00E32651" w:rsidSect="00656DA6">
      <w:footerReference w:type="default" r:id="rId6"/>
      <w:pgSz w:w="11906" w:h="16838"/>
      <w:pgMar w:top="1701" w:right="1247" w:bottom="1701" w:left="1247" w:header="851" w:footer="1355" w:gutter="0"/>
      <w:cols w:space="720"/>
      <w:docGrid w:type="linesAndChars" w:linePitch="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51" w:rsidRDefault="00E32651" w:rsidP="00B813F8">
      <w:r>
        <w:separator/>
      </w:r>
    </w:p>
  </w:endnote>
  <w:endnote w:type="continuationSeparator" w:id="0">
    <w:p w:rsidR="00E32651" w:rsidRDefault="00E32651" w:rsidP="00B8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51" w:rsidRDefault="00E32651" w:rsidP="00656DA6">
    <w:pPr>
      <w:pStyle w:val="Footer"/>
      <w:ind w:firstLineChars="111" w:firstLine="31680"/>
      <w:jc w:val="right"/>
      <w:rPr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E32651" w:rsidRDefault="00E32651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51" w:rsidRDefault="00E32651" w:rsidP="00B813F8">
      <w:r>
        <w:separator/>
      </w:r>
    </w:p>
  </w:footnote>
  <w:footnote w:type="continuationSeparator" w:id="0">
    <w:p w:rsidR="00E32651" w:rsidRDefault="00E32651" w:rsidP="00B81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3F8"/>
    <w:rsid w:val="001C4EA6"/>
    <w:rsid w:val="00656DA6"/>
    <w:rsid w:val="00975D87"/>
    <w:rsid w:val="00B813F8"/>
    <w:rsid w:val="00E32651"/>
    <w:rsid w:val="1571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F8"/>
    <w:pPr>
      <w:widowControl w:val="0"/>
      <w:jc w:val="both"/>
    </w:pPr>
    <w:rPr>
      <w:rFonts w:cs="??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06E4"/>
    <w:rPr>
      <w:rFonts w:cs="??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13F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06E4"/>
    <w:rPr>
      <w:rFonts w:cs="??"/>
      <w:kern w:val="0"/>
      <w:sz w:val="18"/>
      <w:szCs w:val="18"/>
    </w:rPr>
  </w:style>
  <w:style w:type="table" w:styleId="TableGrid">
    <w:name w:val="Table Grid"/>
    <w:basedOn w:val="TableNormal"/>
    <w:uiPriority w:val="99"/>
    <w:rsid w:val="00B813F8"/>
    <w:rPr>
      <w:rFonts w:cs="??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rsid w:val="00B813F8"/>
  </w:style>
  <w:style w:type="character" w:customStyle="1" w:styleId="a">
    <w:name w:val="页眉 字符"/>
    <w:basedOn w:val="DefaultParagraphFont"/>
    <w:uiPriority w:val="99"/>
    <w:rsid w:val="00B813F8"/>
    <w:rPr>
      <w:sz w:val="18"/>
      <w:szCs w:val="18"/>
    </w:rPr>
  </w:style>
  <w:style w:type="character" w:customStyle="1" w:styleId="a0">
    <w:name w:val="页脚 字符"/>
    <w:basedOn w:val="DefaultParagraphFont"/>
    <w:uiPriority w:val="99"/>
    <w:rsid w:val="00B81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镦</dc:creator>
  <cp:keywords/>
  <dc:description/>
  <cp:lastModifiedBy>hp</cp:lastModifiedBy>
  <cp:revision>11</cp:revision>
  <dcterms:created xsi:type="dcterms:W3CDTF">2018-04-20T08:19:00Z</dcterms:created>
  <dcterms:modified xsi:type="dcterms:W3CDTF">2019-09-26T08:13:00Z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