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3F" w:rsidRPr="008B2026" w:rsidRDefault="0067623F" w:rsidP="0067623F">
      <w:pPr>
        <w:widowControl/>
        <w:adjustRightInd w:val="0"/>
        <w:snapToGrid w:val="0"/>
        <w:spacing w:after="200"/>
        <w:rPr>
          <w:rFonts w:ascii="黑体" w:eastAsia="黑体" w:hAnsi="黑体"/>
          <w:color w:val="000000"/>
          <w:kern w:val="0"/>
          <w:sz w:val="32"/>
          <w:szCs w:val="32"/>
        </w:rPr>
      </w:pPr>
      <w:r w:rsidRPr="008B2026">
        <w:rPr>
          <w:rFonts w:ascii="黑体" w:eastAsia="黑体" w:hAnsi="黑体"/>
          <w:color w:val="000000"/>
          <w:kern w:val="0"/>
          <w:sz w:val="32"/>
          <w:szCs w:val="32"/>
        </w:rPr>
        <w:t>附件1</w:t>
      </w:r>
    </w:p>
    <w:p w:rsidR="0067623F" w:rsidRDefault="0067623F" w:rsidP="0067623F">
      <w:pPr>
        <w:widowControl/>
        <w:adjustRightInd w:val="0"/>
        <w:snapToGrid w:val="0"/>
        <w:spacing w:after="200"/>
        <w:jc w:val="center"/>
        <w:rPr>
          <w:rFonts w:eastAsia="方正小标宋简体"/>
          <w:color w:val="000000"/>
          <w:kern w:val="0"/>
          <w:sz w:val="44"/>
        </w:rPr>
      </w:pPr>
      <w:r>
        <w:rPr>
          <w:rFonts w:eastAsia="方正小标宋简体" w:hint="eastAsia"/>
          <w:color w:val="000000"/>
          <w:kern w:val="0"/>
          <w:sz w:val="44"/>
        </w:rPr>
        <w:t>赋权（委托）事项监管责任清单</w:t>
      </w:r>
    </w:p>
    <w:tbl>
      <w:tblPr>
        <w:tblpPr w:leftFromText="180" w:rightFromText="180" w:vertAnchor="text" w:horzAnchor="page" w:tblpXSpec="center" w:tblpY="281"/>
        <w:tblOverlap w:val="never"/>
        <w:tblW w:w="15492" w:type="dxa"/>
        <w:jc w:val="center"/>
        <w:tblLayout w:type="fixed"/>
        <w:tblLook w:val="04A0"/>
      </w:tblPr>
      <w:tblGrid>
        <w:gridCol w:w="534"/>
        <w:gridCol w:w="708"/>
        <w:gridCol w:w="709"/>
        <w:gridCol w:w="992"/>
        <w:gridCol w:w="709"/>
        <w:gridCol w:w="6521"/>
        <w:gridCol w:w="850"/>
        <w:gridCol w:w="1134"/>
        <w:gridCol w:w="2586"/>
        <w:gridCol w:w="749"/>
      </w:tblGrid>
      <w:tr w:rsidR="00E076F1" w:rsidTr="00C646C1">
        <w:trPr>
          <w:trHeight w:val="88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序号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事项名称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子项名称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原实施机关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承接部门</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sz w:val="24"/>
                <w:szCs w:val="32"/>
              </w:rPr>
            </w:pPr>
            <w:r w:rsidRPr="008B2026">
              <w:rPr>
                <w:rFonts w:ascii="宋体" w:eastAsia="宋体" w:hAnsi="宋体" w:cs="仿宋_GB2312" w:hint="eastAsia"/>
                <w:kern w:val="0"/>
                <w:sz w:val="24"/>
                <w:szCs w:val="32"/>
              </w:rPr>
              <w:t>承接部门职责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sz w:val="24"/>
                <w:szCs w:val="32"/>
              </w:rPr>
            </w:pPr>
            <w:r w:rsidRPr="008B2026">
              <w:rPr>
                <w:rFonts w:ascii="宋体" w:eastAsia="宋体" w:hAnsi="宋体" w:cs="仿宋_GB2312" w:hint="eastAsia"/>
                <w:kern w:val="0"/>
                <w:sz w:val="24"/>
                <w:szCs w:val="32"/>
              </w:rPr>
              <w:t>赋权文号</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kern w:val="0"/>
                <w:sz w:val="24"/>
                <w:szCs w:val="32"/>
              </w:rPr>
            </w:pPr>
            <w:r w:rsidRPr="008B2026">
              <w:rPr>
                <w:rFonts w:ascii="宋体" w:eastAsia="宋体" w:hAnsi="宋体" w:cs="仿宋_GB2312" w:hint="eastAsia"/>
                <w:kern w:val="0"/>
                <w:sz w:val="24"/>
                <w:szCs w:val="32"/>
              </w:rPr>
              <w:t>监管责任单位</w:t>
            </w:r>
          </w:p>
        </w:tc>
        <w:tc>
          <w:tcPr>
            <w:tcW w:w="2586" w:type="dxa"/>
            <w:tcBorders>
              <w:top w:val="single" w:sz="4" w:space="0" w:color="000000"/>
              <w:left w:val="single" w:sz="4" w:space="0" w:color="000000"/>
              <w:bottom w:val="single" w:sz="4" w:space="0" w:color="auto"/>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kern w:val="0"/>
                <w:sz w:val="24"/>
                <w:szCs w:val="32"/>
              </w:rPr>
            </w:pPr>
            <w:r w:rsidRPr="008B2026">
              <w:rPr>
                <w:rFonts w:ascii="宋体" w:eastAsia="宋体" w:hAnsi="宋体" w:cs="仿宋_GB2312" w:hint="eastAsia"/>
                <w:kern w:val="0"/>
                <w:sz w:val="24"/>
                <w:szCs w:val="32"/>
              </w:rPr>
              <w:t>监管主要职责及措施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方正黑体_GBK"/>
                <w:color w:val="000000"/>
                <w:sz w:val="24"/>
              </w:rPr>
            </w:pPr>
            <w:r w:rsidRPr="008B2026">
              <w:rPr>
                <w:rFonts w:ascii="宋体" w:eastAsia="宋体" w:hAnsi="宋体" w:cs="方正黑体_GBK"/>
                <w:color w:val="000000"/>
                <w:kern w:val="0"/>
                <w:sz w:val="24"/>
              </w:rPr>
              <w:t>备注</w:t>
            </w:r>
          </w:p>
        </w:tc>
      </w:tr>
      <w:tr w:rsidR="00E076F1" w:rsidTr="00C646C1">
        <w:trPr>
          <w:trHeight w:val="42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left"/>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农村土地承包经营权纠纷仲裁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农业农村局、林业局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凤城镇人民政府</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《中华人民共和国农村土地承包法》第十一条</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国务院农业、林业行政主管部门分别依照国务院规定的职责负责全国农村土地承包及承包合同管理的指导。县级以上地方人民政府农业、林业等行政主管部门分别依照各自职责，负责本行政区域内农村土地承包及承包合同管理。乡（镇）人民政府负责本行政区域内农村土地承包及承包合同管理。</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第五十一条 因土地承包经营发生纠纷的，双方当事人可以通过协商解决，也可以请求村民委员会、乡（镇）人民政府等调解解决。当事人不愿协商、调解或者协商、调解不成的，可以向农村土地承包仲裁机构申请仲裁，也可以直接向人民法院起诉。《中华人民共和国农村土地承包经营纠纷调解仲裁法》第十四条 农村土地承包仲裁委员会依法履行下列职责:</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(一)聘任、解聘仲裁员;</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(二)受理仲裁申请;</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rPr>
            </w:pPr>
            <w:r w:rsidRPr="008B2026">
              <w:rPr>
                <w:rFonts w:ascii="仿宋_GB2312" w:eastAsia="仿宋_GB2312" w:hAnsi="仿宋_GB2312" w:cs="仿宋_GB2312" w:hint="eastAsia"/>
                <w:color w:val="000000"/>
                <w:sz w:val="24"/>
              </w:rPr>
              <w:t>(三)监督仲裁活动。</w:t>
            </w:r>
          </w:p>
          <w:p w:rsidR="00E076F1" w:rsidRPr="008B2026" w:rsidRDefault="00E076F1" w:rsidP="00C646C1">
            <w:pPr>
              <w:widowControl/>
              <w:adjustRightInd w:val="0"/>
              <w:snapToGrid w:val="0"/>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sz w:val="24"/>
              </w:rPr>
              <w:t>农村土地承包仲裁委员会应当依照本法制定章程，对其组成人员的产生方式及任期、议事规则等作出规定。</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sz w:val="24"/>
                <w:szCs w:val="32"/>
              </w:rPr>
            </w:pPr>
            <w:r w:rsidRPr="008B2026">
              <w:rPr>
                <w:rFonts w:ascii="仿宋_GB2312" w:eastAsia="仿宋_GB2312" w:hAnsi="仿宋_GB2312" w:cs="仿宋_GB2312" w:hint="eastAsia"/>
                <w:color w:val="000000"/>
                <w:kern w:val="0"/>
                <w:sz w:val="24"/>
                <w:szCs w:val="32"/>
              </w:rPr>
              <w:t>安政办[2020]34号</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林业局资源站</w:t>
            </w:r>
          </w:p>
        </w:tc>
        <w:tc>
          <w:tcPr>
            <w:tcW w:w="2586" w:type="dxa"/>
            <w:tcBorders>
              <w:top w:val="single" w:sz="4" w:space="0" w:color="auto"/>
              <w:left w:val="single" w:sz="4" w:space="0" w:color="000000"/>
              <w:bottom w:val="single" w:sz="4" w:space="0" w:color="auto"/>
              <w:right w:val="single" w:sz="4" w:space="0" w:color="auto"/>
            </w:tcBorders>
            <w:shd w:val="clear" w:color="auto" w:fill="auto"/>
            <w:vAlign w:val="center"/>
          </w:tcPr>
          <w:p w:rsidR="00E076F1" w:rsidRPr="008B2026" w:rsidRDefault="00E076F1" w:rsidP="00C646C1">
            <w:pPr>
              <w:widowControl/>
              <w:adjustRightInd w:val="0"/>
              <w:snapToGrid w:val="0"/>
              <w:jc w:val="left"/>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依法指导林地和林木承包经营、流转管理和森林资源转让评估工作；指导集体林地承包经营纠纷调解工作；对纠纷及时给予介入、调解。</w:t>
            </w:r>
          </w:p>
        </w:tc>
        <w:tc>
          <w:tcPr>
            <w:tcW w:w="749" w:type="dxa"/>
            <w:tcBorders>
              <w:top w:val="single" w:sz="4" w:space="0" w:color="000000"/>
              <w:left w:val="single" w:sz="4" w:space="0" w:color="auto"/>
              <w:bottom w:val="single" w:sz="4" w:space="0" w:color="000000"/>
              <w:right w:val="single" w:sz="4" w:space="0" w:color="000000"/>
            </w:tcBorders>
            <w:shd w:val="clear" w:color="auto" w:fill="auto"/>
            <w:vAlign w:val="center"/>
          </w:tcPr>
          <w:p w:rsidR="00E076F1" w:rsidRDefault="00E076F1" w:rsidP="00C646C1">
            <w:pPr>
              <w:widowControl/>
              <w:adjustRightInd w:val="0"/>
              <w:snapToGrid w:val="0"/>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流程图、一次性告知书以农业农村局公布为准</w:t>
            </w:r>
          </w:p>
        </w:tc>
      </w:tr>
      <w:tr w:rsidR="00E076F1" w:rsidTr="00C646C1">
        <w:trPr>
          <w:trHeight w:val="42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序号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事项名称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子项名称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原实施机关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color w:val="000000"/>
                <w:sz w:val="24"/>
                <w:szCs w:val="32"/>
              </w:rPr>
            </w:pPr>
            <w:r w:rsidRPr="008B2026">
              <w:rPr>
                <w:rFonts w:ascii="宋体" w:eastAsia="宋体" w:hAnsi="宋体" w:cs="仿宋_GB2312" w:hint="eastAsia"/>
                <w:color w:val="000000"/>
                <w:kern w:val="0"/>
                <w:sz w:val="24"/>
                <w:szCs w:val="32"/>
              </w:rPr>
              <w:t>承接部门</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sz w:val="24"/>
                <w:szCs w:val="32"/>
              </w:rPr>
            </w:pPr>
            <w:r w:rsidRPr="008B2026">
              <w:rPr>
                <w:rFonts w:ascii="宋体" w:eastAsia="宋体" w:hAnsi="宋体" w:cs="仿宋_GB2312" w:hint="eastAsia"/>
                <w:kern w:val="0"/>
                <w:sz w:val="24"/>
                <w:szCs w:val="32"/>
              </w:rPr>
              <w:t>承接部门职责</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sz w:val="24"/>
                <w:szCs w:val="32"/>
              </w:rPr>
            </w:pPr>
            <w:r w:rsidRPr="008B2026">
              <w:rPr>
                <w:rFonts w:ascii="宋体" w:eastAsia="宋体" w:hAnsi="宋体" w:cs="仿宋_GB2312" w:hint="eastAsia"/>
                <w:kern w:val="0"/>
                <w:sz w:val="24"/>
                <w:szCs w:val="32"/>
              </w:rPr>
              <w:t>赋权文号</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kern w:val="0"/>
                <w:sz w:val="24"/>
                <w:szCs w:val="32"/>
              </w:rPr>
            </w:pPr>
            <w:r w:rsidRPr="008B2026">
              <w:rPr>
                <w:rFonts w:ascii="宋体" w:eastAsia="宋体" w:hAnsi="宋体" w:cs="仿宋_GB2312" w:hint="eastAsia"/>
                <w:kern w:val="0"/>
                <w:sz w:val="24"/>
                <w:szCs w:val="32"/>
              </w:rPr>
              <w:t>监管责任单位</w:t>
            </w:r>
          </w:p>
        </w:tc>
        <w:tc>
          <w:tcPr>
            <w:tcW w:w="2586" w:type="dxa"/>
            <w:tcBorders>
              <w:top w:val="single" w:sz="4" w:space="0" w:color="auto"/>
              <w:left w:val="single" w:sz="4" w:space="0" w:color="000000"/>
              <w:bottom w:val="single" w:sz="4" w:space="0" w:color="auto"/>
              <w:right w:val="single" w:sz="4" w:space="0" w:color="auto"/>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仿宋_GB2312"/>
                <w:b/>
                <w:bCs/>
                <w:kern w:val="0"/>
                <w:sz w:val="24"/>
                <w:szCs w:val="32"/>
              </w:rPr>
            </w:pPr>
            <w:r w:rsidRPr="008B2026">
              <w:rPr>
                <w:rFonts w:ascii="宋体" w:eastAsia="宋体" w:hAnsi="宋体" w:cs="仿宋_GB2312" w:hint="eastAsia"/>
                <w:kern w:val="0"/>
                <w:sz w:val="24"/>
                <w:szCs w:val="32"/>
              </w:rPr>
              <w:t>监管主要职责及措施</w:t>
            </w:r>
          </w:p>
        </w:tc>
        <w:tc>
          <w:tcPr>
            <w:tcW w:w="749" w:type="dxa"/>
            <w:tcBorders>
              <w:top w:val="single" w:sz="4" w:space="0" w:color="000000"/>
              <w:left w:val="single" w:sz="4" w:space="0" w:color="auto"/>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宋体" w:eastAsia="宋体" w:hAnsi="宋体" w:cs="方正黑体_GBK"/>
                <w:color w:val="000000"/>
                <w:sz w:val="24"/>
              </w:rPr>
            </w:pPr>
            <w:r w:rsidRPr="008B2026">
              <w:rPr>
                <w:rFonts w:ascii="宋体" w:eastAsia="宋体" w:hAnsi="宋体" w:cs="方正黑体_GBK"/>
                <w:color w:val="000000"/>
                <w:kern w:val="0"/>
                <w:sz w:val="24"/>
              </w:rPr>
              <w:t>备注</w:t>
            </w:r>
          </w:p>
        </w:tc>
      </w:tr>
      <w:tr w:rsidR="00E076F1" w:rsidTr="00C646C1">
        <w:trPr>
          <w:trHeight w:val="42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left"/>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扑救森林火灾、防洪抢险等紧急情况林木采伐的备案</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林业局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凤城镇人民政府</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6F1" w:rsidRPr="008B2026" w:rsidRDefault="00E076F1" w:rsidP="00C646C1">
            <w:pPr>
              <w:widowControl/>
              <w:adjustRightInd w:val="0"/>
              <w:snapToGrid w:val="0"/>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《中华人民共和国森林法实施条例》</w:t>
            </w:r>
          </w:p>
          <w:p w:rsidR="00E076F1" w:rsidRPr="008B2026" w:rsidRDefault="00E076F1" w:rsidP="00C646C1">
            <w:pPr>
              <w:widowControl/>
              <w:adjustRightInd w:val="0"/>
              <w:snapToGrid w:val="0"/>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第三十条因扑救森林火灾、防洪抢险等紧急情况需要采伐林木的，组织抢险的单位或者部门应当自紧急情况结束之日起30日内，将采伐林木的情况报告当地县级以上人民政府林业主管部门。</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安政办[2020]34号</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E076F1" w:rsidRPr="008B2026" w:rsidRDefault="00E076F1" w:rsidP="00C646C1">
            <w:pPr>
              <w:widowControl/>
              <w:adjustRightInd w:val="0"/>
              <w:snapToGrid w:val="0"/>
              <w:jc w:val="center"/>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林业局林政股</w:t>
            </w:r>
          </w:p>
        </w:tc>
        <w:tc>
          <w:tcPr>
            <w:tcW w:w="2586" w:type="dxa"/>
            <w:tcBorders>
              <w:top w:val="single" w:sz="4" w:space="0" w:color="auto"/>
              <w:left w:val="single" w:sz="4" w:space="0" w:color="000000"/>
              <w:bottom w:val="single" w:sz="4" w:space="0" w:color="auto"/>
              <w:right w:val="single" w:sz="4" w:space="0" w:color="auto"/>
            </w:tcBorders>
            <w:shd w:val="clear" w:color="auto" w:fill="auto"/>
            <w:vAlign w:val="center"/>
          </w:tcPr>
          <w:p w:rsidR="00E076F1" w:rsidRPr="008B2026" w:rsidRDefault="00E076F1" w:rsidP="00C646C1">
            <w:pPr>
              <w:widowControl/>
              <w:adjustRightInd w:val="0"/>
              <w:snapToGrid w:val="0"/>
              <w:jc w:val="left"/>
              <w:textAlignment w:val="center"/>
              <w:rPr>
                <w:rFonts w:ascii="仿宋_GB2312" w:eastAsia="仿宋_GB2312" w:hAnsi="仿宋_GB2312" w:cs="仿宋_GB2312"/>
                <w:color w:val="000000"/>
                <w:kern w:val="0"/>
                <w:sz w:val="24"/>
                <w:szCs w:val="32"/>
              </w:rPr>
            </w:pPr>
            <w:r w:rsidRPr="008B2026">
              <w:rPr>
                <w:rFonts w:ascii="仿宋_GB2312" w:eastAsia="仿宋_GB2312" w:hAnsi="仿宋_GB2312" w:cs="仿宋_GB2312" w:hint="eastAsia"/>
                <w:color w:val="000000"/>
                <w:kern w:val="0"/>
                <w:sz w:val="24"/>
                <w:szCs w:val="32"/>
              </w:rPr>
              <w:t>指导、协调全县林业行政执法工作；双随机进行检查监督。</w:t>
            </w:r>
          </w:p>
        </w:tc>
        <w:tc>
          <w:tcPr>
            <w:tcW w:w="749" w:type="dxa"/>
            <w:tcBorders>
              <w:top w:val="single" w:sz="4" w:space="0" w:color="000000"/>
              <w:left w:val="single" w:sz="4" w:space="0" w:color="auto"/>
              <w:bottom w:val="single" w:sz="4" w:space="0" w:color="000000"/>
              <w:right w:val="single" w:sz="4" w:space="0" w:color="000000"/>
            </w:tcBorders>
            <w:shd w:val="clear" w:color="auto" w:fill="auto"/>
            <w:vAlign w:val="center"/>
          </w:tcPr>
          <w:p w:rsidR="00E076F1" w:rsidRDefault="00E076F1" w:rsidP="00C646C1">
            <w:pPr>
              <w:widowControl/>
              <w:adjustRightInd w:val="0"/>
              <w:snapToGrid w:val="0"/>
              <w:jc w:val="center"/>
              <w:textAlignment w:val="center"/>
              <w:rPr>
                <w:rFonts w:ascii="宋体" w:eastAsia="宋体" w:hAnsi="宋体" w:cs="宋体"/>
                <w:color w:val="000000"/>
                <w:kern w:val="0"/>
                <w:sz w:val="20"/>
                <w:szCs w:val="20"/>
              </w:rPr>
            </w:pPr>
          </w:p>
        </w:tc>
      </w:tr>
    </w:tbl>
    <w:p w:rsidR="007A6581" w:rsidRPr="00E076F1" w:rsidRDefault="007A6581"/>
    <w:sectPr w:rsidR="007A6581" w:rsidRPr="00E076F1" w:rsidSect="0067623F">
      <w:pgSz w:w="16838" w:h="11906" w:orient="landscape"/>
      <w:pgMar w:top="1588" w:right="2098" w:bottom="1474"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54" w:rsidRDefault="00260B54" w:rsidP="00E076F1">
      <w:r>
        <w:separator/>
      </w:r>
    </w:p>
  </w:endnote>
  <w:endnote w:type="continuationSeparator" w:id="1">
    <w:p w:rsidR="00260B54" w:rsidRDefault="00260B54" w:rsidP="00E07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54" w:rsidRDefault="00260B54" w:rsidP="00E076F1">
      <w:r>
        <w:separator/>
      </w:r>
    </w:p>
  </w:footnote>
  <w:footnote w:type="continuationSeparator" w:id="1">
    <w:p w:rsidR="00260B54" w:rsidRDefault="00260B54" w:rsidP="00E07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23F"/>
    <w:rsid w:val="001461E5"/>
    <w:rsid w:val="00260B54"/>
    <w:rsid w:val="00531054"/>
    <w:rsid w:val="0067623F"/>
    <w:rsid w:val="007A6581"/>
    <w:rsid w:val="009924C3"/>
    <w:rsid w:val="009F6791"/>
    <w:rsid w:val="00BF00FC"/>
    <w:rsid w:val="00E0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3F"/>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31054"/>
    <w:pPr>
      <w:adjustRightInd w:val="0"/>
      <w:snapToGrid w:val="0"/>
      <w:spacing w:line="560" w:lineRule="exact"/>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531054"/>
    <w:rPr>
      <w:rFonts w:asciiTheme="majorHAnsi" w:eastAsia="方正小标宋简体" w:hAnsiTheme="majorHAnsi" w:cstheme="majorBidi"/>
      <w:bCs/>
      <w:sz w:val="44"/>
      <w:szCs w:val="32"/>
    </w:rPr>
  </w:style>
  <w:style w:type="paragraph" w:styleId="a4">
    <w:name w:val="header"/>
    <w:basedOn w:val="a"/>
    <w:link w:val="Char0"/>
    <w:uiPriority w:val="99"/>
    <w:semiHidden/>
    <w:unhideWhenUsed/>
    <w:rsid w:val="00E076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076F1"/>
    <w:rPr>
      <w:sz w:val="18"/>
      <w:szCs w:val="18"/>
    </w:rPr>
  </w:style>
  <w:style w:type="paragraph" w:styleId="a5">
    <w:name w:val="footer"/>
    <w:basedOn w:val="a"/>
    <w:link w:val="Char1"/>
    <w:uiPriority w:val="99"/>
    <w:semiHidden/>
    <w:unhideWhenUsed/>
    <w:rsid w:val="00E076F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076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731</Characters>
  <Application>Microsoft Office Word</Application>
  <DocSecurity>0</DocSecurity>
  <Lines>6</Lines>
  <Paragraphs>1</Paragraphs>
  <ScaleCrop>false</ScaleCrop>
  <Company>china</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2021-09-28T08:40:00Z</dcterms:created>
  <dcterms:modified xsi:type="dcterms:W3CDTF">2021-09-28T08:41:00Z</dcterms:modified>
</cp:coreProperties>
</file>