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96" w:rsidRDefault="005E0692">
      <w:pPr>
        <w:widowControl/>
        <w:shd w:val="clear" w:color="auto" w:fill="FFFFFF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shd w:val="clear" w:color="auto" w:fill="FFFFFF"/>
          <w:lang/>
        </w:rPr>
        <w:t>安溪县</w:t>
      </w:r>
      <w:r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shd w:val="clear" w:color="auto" w:fill="FFFFFF"/>
          <w:lang/>
        </w:rPr>
        <w:t>农业行政处罚案件信息公开表</w:t>
      </w:r>
    </w:p>
    <w:p w:rsidR="004F6B96" w:rsidRDefault="004F6B96">
      <w:pPr>
        <w:widowControl/>
        <w:shd w:val="clear" w:color="auto" w:fill="FFFFFF"/>
        <w:spacing w:line="300" w:lineRule="exact"/>
        <w:jc w:val="right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shd w:val="clear" w:color="auto" w:fill="FFFFFF"/>
          <w:lang/>
        </w:rPr>
      </w:pPr>
    </w:p>
    <w:tbl>
      <w:tblPr>
        <w:tblpPr w:leftFromText="180" w:rightFromText="180" w:vertAnchor="text" w:horzAnchor="page" w:tblpX="1438" w:tblpY="110"/>
        <w:tblOverlap w:val="never"/>
        <w:tblW w:w="14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1250"/>
        <w:gridCol w:w="1667"/>
        <w:gridCol w:w="1217"/>
        <w:gridCol w:w="1416"/>
        <w:gridCol w:w="1484"/>
        <w:gridCol w:w="1126"/>
        <w:gridCol w:w="1905"/>
        <w:gridCol w:w="1377"/>
        <w:gridCol w:w="1486"/>
        <w:gridCol w:w="662"/>
      </w:tblGrid>
      <w:tr w:rsidR="004F6B96">
        <w:trPr>
          <w:trHeight w:val="1192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行政处罚</w:t>
            </w:r>
          </w:p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决定案号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案件</w:t>
            </w:r>
          </w:p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违法主体</w:t>
            </w:r>
          </w:p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名称或姓名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违法企业组织机构代码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法定代表人</w:t>
            </w:r>
          </w:p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（负责人）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主要</w:t>
            </w:r>
          </w:p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违法事实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行政处罚</w:t>
            </w:r>
          </w:p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种类和依据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行政处罚履行方式和期限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作出行政处罚的机关名称和日期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4F6B96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</w:p>
          <w:p w:rsidR="004F6B96" w:rsidRDefault="005E0692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4F6B96">
        <w:trPr>
          <w:trHeight w:val="29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spacing w:line="440" w:lineRule="atLeas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_GB2312" w:eastAsia="仿宋_GB2312" w:hAnsi="Times New Roman" w:cs="仿宋_GB2312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安农（宅）罚〔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2022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〕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胡文伟未经批准非法占用土地建住宅案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胡文伟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—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未经批准非法占用土地建住宅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法律、行政法规规定的其他行政处罚；《中华人民共和国土地管理法》第六十二条、《中华人民共和国土地管理法》第七十八条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接到处罚决定书起退还非法占用的土地；</w:t>
            </w:r>
          </w:p>
          <w:p w:rsidR="004F6B96" w:rsidRDefault="005E0692">
            <w:pPr>
              <w:rPr>
                <w:rFonts w:ascii="仿宋_GB2312" w:eastAsia="仿宋_GB2312" w:hAnsi="Times New Roman" w:cs="仿宋_GB2312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2.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接到处罚决定书起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日内自行拆除非法占用土地上新建的房屋。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_GB2312" w:eastAsia="仿宋_GB2312" w:hAnsi="Times New Roman" w:cs="仿宋_GB2312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安溪县农业农村局、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4F6B96">
            <w:pPr>
              <w:widowControl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4F6B96">
        <w:trPr>
          <w:trHeight w:val="29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5E0692">
            <w:pPr>
              <w:widowControl/>
              <w:spacing w:line="440" w:lineRule="atLeas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安农（宅）罚〔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2022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〕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苏炳联非法占用土地建住宅案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苏炳联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—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非法占用土地建住宅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法律、行政法规规定的其他行政处罚；《中华人民共和国土地管理法》第六十二条、《中华人民共和国土地管理法》第七十八条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接到处罚决定书起退还非法占用的土地；</w:t>
            </w:r>
          </w:p>
          <w:p w:rsidR="004F6B96" w:rsidRDefault="005E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2.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接到处罚决定书起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日内自行拆除非法占用土地上新建的房屋。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6B96" w:rsidRDefault="005E06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安溪县农业农村局、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</w:t>
            </w:r>
            <w:bookmarkStart w:id="0" w:name="_GoBack"/>
            <w:bookmarkEnd w:id="0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6B96" w:rsidRDefault="004F6B96">
            <w:pPr>
              <w:widowControl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:rsidR="004F6B96" w:rsidRPr="000D204A" w:rsidRDefault="004F6B96"/>
    <w:sectPr w:rsidR="004F6B96" w:rsidRPr="000D204A" w:rsidSect="004F6B96">
      <w:pgSz w:w="16838" w:h="11906" w:orient="landscape"/>
      <w:pgMar w:top="1417" w:right="1440" w:bottom="1417" w:left="1440" w:header="851" w:footer="992" w:gutter="0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92" w:rsidRDefault="005E0692" w:rsidP="000D204A">
      <w:r>
        <w:separator/>
      </w:r>
    </w:p>
  </w:endnote>
  <w:endnote w:type="continuationSeparator" w:id="1">
    <w:p w:rsidR="005E0692" w:rsidRDefault="005E0692" w:rsidP="000D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92" w:rsidRDefault="005E0692" w:rsidP="000D204A">
      <w:r>
        <w:separator/>
      </w:r>
    </w:p>
  </w:footnote>
  <w:footnote w:type="continuationSeparator" w:id="1">
    <w:p w:rsidR="005E0692" w:rsidRDefault="005E0692" w:rsidP="000D2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617EE3"/>
    <w:rsid w:val="000D204A"/>
    <w:rsid w:val="004F6B96"/>
    <w:rsid w:val="005E0692"/>
    <w:rsid w:val="01617EE3"/>
    <w:rsid w:val="080D663E"/>
    <w:rsid w:val="16425210"/>
    <w:rsid w:val="1BE32CB3"/>
    <w:rsid w:val="22CB0949"/>
    <w:rsid w:val="234F00BF"/>
    <w:rsid w:val="321C38D8"/>
    <w:rsid w:val="325D2713"/>
    <w:rsid w:val="481562ED"/>
    <w:rsid w:val="48BD1517"/>
    <w:rsid w:val="4AF421EA"/>
    <w:rsid w:val="4B4A4AAE"/>
    <w:rsid w:val="4C0A4F85"/>
    <w:rsid w:val="4E5352FB"/>
    <w:rsid w:val="5BF82FC8"/>
    <w:rsid w:val="635F21A6"/>
    <w:rsid w:val="6EE95C22"/>
    <w:rsid w:val="7C0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B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0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D2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0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2020-04-03T01:25:00Z</dcterms:created>
  <dcterms:modified xsi:type="dcterms:W3CDTF">2023-02-01T01:31:00Z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