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38" w:rsidRDefault="004A3F38" w:rsidP="003E087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A3F38" w:rsidRDefault="004A3F38" w:rsidP="003E087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A3F38" w:rsidRDefault="004A3F38" w:rsidP="003E087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A3F38" w:rsidRDefault="004A3F38" w:rsidP="003E087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A3F38" w:rsidRDefault="004A3F38" w:rsidP="003E087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A3F38" w:rsidRDefault="004A3F38" w:rsidP="003E087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A3F38" w:rsidRDefault="004A3F38" w:rsidP="003E087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A3F38" w:rsidRDefault="004A3F38" w:rsidP="003E087B">
      <w:pPr>
        <w:spacing w:line="620" w:lineRule="exact"/>
        <w:jc w:val="center"/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安农〔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196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签发人：</w:t>
      </w:r>
      <w:r w:rsidRPr="003E087B">
        <w:rPr>
          <w:rFonts w:ascii="楷体_GB2312" w:eastAsia="楷体_GB2312" w:hAnsi="仿宋_GB2312" w:cs="仿宋_GB2312" w:hint="eastAsia"/>
          <w:sz w:val="32"/>
          <w:szCs w:val="32"/>
        </w:rPr>
        <w:t>王小鹏</w:t>
      </w:r>
    </w:p>
    <w:p w:rsidR="004A3F38" w:rsidRDefault="004A3F38" w:rsidP="003E087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A3F38" w:rsidRDefault="004A3F38" w:rsidP="003E087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A3F38" w:rsidRDefault="004A3F38" w:rsidP="003E087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安溪县农业农村局关于</w:t>
      </w:r>
    </w:p>
    <w:p w:rsidR="004A3F38" w:rsidRDefault="004A3F38" w:rsidP="003E087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年法治政府建设情况的报告</w:t>
      </w:r>
    </w:p>
    <w:p w:rsidR="004A3F38" w:rsidRDefault="004A3F38">
      <w:pPr>
        <w:spacing w:line="560" w:lineRule="exact"/>
      </w:pPr>
    </w:p>
    <w:p w:rsidR="004A3F38" w:rsidRDefault="004A3F38" w:rsidP="003E087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县委、县政府：</w:t>
      </w:r>
    </w:p>
    <w:p w:rsidR="004A3F38" w:rsidRDefault="004A3F38" w:rsidP="003E087B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安溪县农业农村局以习近平新时代中国特色社会主义思想为指导，全面贯彻落实党的二十大精神，深入学习习近平法治思想，大力推进法治政府建设，进一步提高依法决策、依法管理、依法行政水平。现将有关工作汇报如下：</w:t>
      </w:r>
    </w:p>
    <w:p w:rsidR="004A3F38" w:rsidRDefault="004A3F38" w:rsidP="003E087B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一、学习贯彻习近平法治思想，推进依法行政</w:t>
      </w:r>
    </w:p>
    <w:p w:rsidR="004A3F38" w:rsidRDefault="004A3F38" w:rsidP="003E087B">
      <w:pPr>
        <w:pStyle w:val="p1"/>
        <w:widowControl w:val="0"/>
        <w:wordWrap/>
        <w:spacing w:line="600" w:lineRule="exact"/>
        <w:ind w:firstLineChars="200" w:firstLine="316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组织领导。单位主要负责人认真履行推进法治建设第一责任人职责，将法治政府建设摆在全局工作的重要位置，坚持同业务工作同部署、同落实、同考核。建立组织领导机制，形成主要领导亲自抓，分管领导具体抓，局属各单位相互配合、齐抓共管的工作格局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落实领导干部学法用法制度。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根据年度法制学习工作计划，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落实党组中心组学法制度，深入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习近平法治思想、党的二十大精神、宪法、民法典、党内法规以及涉农领域法律法规等知识，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推动领导干部领会法治精神，树立守法律、重程序、受监督的法治理念。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8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根据本年度的普法责任清单、普法计划，不断加强农业执法人员的培训教育力度。通过集中学习、听讲座、网络培训等多种方式，不断提升执法人员的法律知识水平，规范执法行为、提高办案质量。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2"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推行党政机关法律顾问制度。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为健全法律风险防范机制，保障农业农村法治建设工作顺利开展，我局聘请福建安荣律师事务所钟志强律师担任常年法律顾问，具体负责提供重大决策法律意见、协助法制审核、参与规范性文件审查、协助处理涉法涉诉案件等事项。</w:t>
      </w:r>
    </w:p>
    <w:p w:rsidR="004A3F38" w:rsidRDefault="004A3F38" w:rsidP="003E087B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二、深化行政审批制度改革，提升审批服务效率</w:t>
      </w:r>
    </w:p>
    <w:p w:rsidR="004A3F38" w:rsidRDefault="004A3F38" w:rsidP="003E087B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推行审批服务事项“五级十五同”，动态更新标准化事项目录清单，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不断完善审批服务指南、优化审批流程、缩短审批时限、精简审批材料等，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严格落实“一窗受理、内部流转”的审批流程。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立足于减少办事环节、提高办事效能、提供优质服务的理念，推行“最多跑一趟、一趟不用跑”，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做到让“信息多跑路，企业少跑腿”。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梳理权责清单，根据职能以及划转涉改的权责事项，合理、清晰地界定各股站的职能和权限，梳理划转职能涉及的行政权力，做好机构改革后权责清单事项的梳理调整。截止目前，县农业农业局共梳理并公布权责清单</w:t>
      </w:r>
      <w:r>
        <w:rPr>
          <w:rFonts w:ascii="仿宋_GB2312" w:eastAsia="仿宋_GB2312" w:hAnsi="仿宋_GB2312" w:cs="仿宋_GB2312"/>
          <w:sz w:val="32"/>
          <w:szCs w:val="32"/>
        </w:rPr>
        <w:t>365</w:t>
      </w:r>
      <w:r>
        <w:rPr>
          <w:rFonts w:ascii="仿宋_GB2312" w:eastAsia="仿宋_GB2312" w:hAnsi="仿宋_GB2312" w:cs="仿宋_GB2312" w:hint="eastAsia"/>
          <w:sz w:val="32"/>
          <w:szCs w:val="32"/>
        </w:rPr>
        <w:t>项。</w:t>
      </w:r>
    </w:p>
    <w:p w:rsidR="004A3F38" w:rsidRDefault="004A3F38" w:rsidP="003E087B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三、规范农业综合执法工作，提升行政执法质量</w:t>
      </w:r>
    </w:p>
    <w:p w:rsidR="004A3F38" w:rsidRDefault="004A3F38" w:rsidP="003E087B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落实行政执法“三项制度”，结合工作实际，制定《安溪县农业农村局行政执法公示制度》《安溪县农业农村局行政执法全过程记录制度》、《安溪县农业农村局重大行政决定法制审核制度》等制度，要求局属各股站全面学习，认真落实，实现执法信息公开透明、执法全过程留痕、执法决定合法有效。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sz w:val="32"/>
          <w:szCs w:val="32"/>
        </w:rPr>
        <w:t>为贯彻落实行政处罚权下放制度，我局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对照《指导目录》，分批分类、定向选取可下放乡镇的行政执法事项，并经意见征求、充分论证、开会研究、实地走访等，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综合形成本领域赋予乡镇首批行政执法事项（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宅基地、农产品农机安全等）</w:t>
      </w:r>
      <w:r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项。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日，与各乡镇人民政府签订《安溪县乡镇行政执法赋权事项</w:t>
      </w:r>
      <w:r>
        <w:rPr>
          <w:rFonts w:ascii="仿宋_GB2312" w:eastAsia="仿宋_GB2312" w:hint="eastAsia"/>
          <w:sz w:val="32"/>
        </w:rPr>
        <w:t>承接确认书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》，赋予乡镇首批</w:t>
      </w:r>
      <w:r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项行政执法事项</w:t>
      </w:r>
      <w:r>
        <w:rPr>
          <w:rFonts w:ascii="仿宋_GB2312" w:eastAsia="仿宋_GB2312" w:hint="eastAsia"/>
          <w:sz w:val="32"/>
        </w:rPr>
        <w:t>由乡镇人民政府自承接确认书签订之日起履行。同时，通过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业务指导培训、执法协同配合等举措进一步推动行政执法权</w:t>
      </w:r>
      <w:r>
        <w:rPr>
          <w:rFonts w:ascii="仿宋_GB2312" w:eastAsia="仿宋_GB2312" w:hint="eastAsia"/>
          <w:sz w:val="32"/>
        </w:rPr>
        <w:t>赋权交接。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推行包容审慎监管执法，落实行政处罚“四张清单”制度，通过转变执法理念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实行监管清单化，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进一步提高行政执法质量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。经动态调整，目前“四张清单”共涉及农业农村（不含渔业）领域不予行政处罚事项清单</w:t>
      </w:r>
      <w:r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项、从轻处罚事项清单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项、减轻处罚事项清单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项、免予行政强制事项清单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项；渔业领域不予行政处罚事项清单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项、从轻行政处罚事项清单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项。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四是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开展福建省一体化大融合行政执法平台农业农村系统试点工作。为推进严格规范公正文明执法，消除重复检查、多头执法、随意处罚，优化法治化营商环境，提高行政执法信息化、数字化、智能化水平，根据上级部署要求，我局及时组织开展试点工作，截至目前，我局已通过福建省一体化大融合行政执法平台办理行政处罚案件</w:t>
      </w:r>
      <w:r>
        <w:rPr>
          <w:rFonts w:ascii="仿宋_GB2312" w:eastAsia="仿宋_GB2312" w:hAnsi="微软雅黑"/>
          <w:color w:val="000000"/>
          <w:sz w:val="32"/>
          <w:szCs w:val="32"/>
        </w:rPr>
        <w:t>7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件、行政检查</w:t>
      </w:r>
      <w:r>
        <w:rPr>
          <w:rFonts w:ascii="仿宋_GB2312" w:eastAsia="仿宋_GB2312" w:hAnsi="微软雅黑"/>
          <w:color w:val="000000"/>
          <w:sz w:val="32"/>
          <w:szCs w:val="32"/>
        </w:rPr>
        <w:t>3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件。</w:t>
      </w:r>
    </w:p>
    <w:p w:rsidR="004A3F38" w:rsidRDefault="004A3F38" w:rsidP="003E087B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四、加强执法监督力度，提升执法水平</w:t>
      </w:r>
    </w:p>
    <w:p w:rsidR="004A3F38" w:rsidRDefault="004A3F38" w:rsidP="003E087B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强化执法监督。扎实开展农业投入品、农产品质量安全、动物卫生、畜禽屠宰、渔政等领域监督管理。以执法检查、质量抽检为抓手，加强对农资生产经营企业、农产品生产者、畜禽屠宰场、畜禽养殖场的执法监管。截至今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月，县农业综合执法大队共出动执法人员</w:t>
      </w:r>
      <w:r>
        <w:rPr>
          <w:rFonts w:ascii="仿宋_GB2312" w:eastAsia="仿宋_GB2312" w:hAnsi="仿宋_GB2312" w:cs="仿宋_GB2312"/>
          <w:sz w:val="32"/>
          <w:szCs w:val="32"/>
        </w:rPr>
        <w:t>2200</w:t>
      </w:r>
      <w:r>
        <w:rPr>
          <w:rFonts w:ascii="仿宋_GB2312" w:eastAsia="仿宋_GB2312" w:hAnsi="仿宋_GB2312" w:cs="仿宋_GB2312" w:hint="eastAsia"/>
          <w:sz w:val="32"/>
          <w:szCs w:val="32"/>
        </w:rPr>
        <w:t>多人次，共抽检农药、种子、肥料、兽药、饲料等产品</w:t>
      </w:r>
      <w:r>
        <w:rPr>
          <w:rFonts w:ascii="仿宋_GB2312" w:eastAsia="仿宋_GB2312" w:hAnsi="仿宋_GB2312" w:cs="仿宋_GB2312"/>
          <w:sz w:val="32"/>
          <w:szCs w:val="32"/>
        </w:rPr>
        <w:t>51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个，茶叶产品</w:t>
      </w:r>
      <w:r>
        <w:rPr>
          <w:rFonts w:ascii="仿宋_GB2312" w:eastAsia="仿宋_GB2312" w:hAnsi="仿宋_GB2312" w:cs="仿宋_GB2312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多个，动物尿液</w:t>
      </w:r>
      <w:r>
        <w:rPr>
          <w:rFonts w:ascii="仿宋_GB2312" w:eastAsia="仿宋_GB2312" w:hAnsi="仿宋_GB2312" w:cs="仿宋_GB2312"/>
          <w:sz w:val="32"/>
          <w:szCs w:val="32"/>
        </w:rPr>
        <w:t>1532</w:t>
      </w:r>
      <w:r>
        <w:rPr>
          <w:rFonts w:ascii="仿宋_GB2312" w:eastAsia="仿宋_GB2312" w:hAnsi="仿宋_GB2312" w:cs="仿宋_GB2312" w:hint="eastAsia"/>
          <w:sz w:val="32"/>
          <w:szCs w:val="32"/>
        </w:rPr>
        <w:t>份，产地检疫</w:t>
      </w:r>
      <w:r>
        <w:rPr>
          <w:rFonts w:ascii="仿宋_GB2312" w:eastAsia="仿宋_GB2312" w:hAnsi="仿宋_GB2312" w:cs="仿宋_GB2312"/>
          <w:sz w:val="32"/>
          <w:szCs w:val="32"/>
        </w:rPr>
        <w:t>258532</w:t>
      </w:r>
      <w:r>
        <w:rPr>
          <w:rFonts w:ascii="仿宋_GB2312" w:eastAsia="仿宋_GB2312" w:hAnsi="仿宋_GB2312" w:cs="仿宋_GB2312" w:hint="eastAsia"/>
          <w:sz w:val="32"/>
          <w:szCs w:val="32"/>
        </w:rPr>
        <w:t>头，下发整改通知书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份。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从严查处违法行为。加大对违法案件线索的排查梳理，深挖到底，确保农业生产和农产品质量安全，确保农村社会和谐稳定。今年以来，我局共立案查处农产品质量安全案件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起，非法经营农业投入品案件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起，动物防疫类案件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起，生猪屠宰环节违法案件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起，移送私屠滥宰案件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起。</w:t>
      </w:r>
    </w:p>
    <w:p w:rsidR="004A3F38" w:rsidRDefault="004A3F38" w:rsidP="003E087B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五、扎实推进“双随机、一公开”监管，提升事中事后监管透明度</w:t>
      </w:r>
    </w:p>
    <w:p w:rsidR="004A3F38" w:rsidRDefault="004A3F38" w:rsidP="003E087B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制定《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年“双随机、一公开”抽查工作方案》，全面实施“双随机、一公开”监管。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健全随机抽查事项清单，涵盖兽药、农药、肥料监督检查，动物防疫监督检查等工作内容，逐一明确检查依据、检查对象、检查内容、检查方式、抽查比例、抽查频次、检查主体、责任单位等，实现事项全覆盖。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依托“互联网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监管”系统、双随机一公开系统、政府网站等，对随机检查结果进行公示。通过“双随机，一公开”的方式进行日常行政检查，加强“双随机”抽查监管机制，提高监管水平，努力做到监管全覆盖。</w:t>
      </w:r>
    </w:p>
    <w:p w:rsidR="004A3F38" w:rsidRDefault="004A3F38" w:rsidP="003E087B">
      <w:pPr>
        <w:spacing w:line="600" w:lineRule="exact"/>
        <w:ind w:firstLineChars="200" w:firstLine="3168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六、开展系列法治宣传活动，营造浓厚法治氛围</w:t>
      </w:r>
    </w:p>
    <w:p w:rsidR="004A3F38" w:rsidRDefault="004A3F38" w:rsidP="003E087B">
      <w:pPr>
        <w:spacing w:line="600" w:lineRule="exact"/>
        <w:ind w:firstLineChars="200" w:firstLine="31680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pacing w:val="8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突出重要时间节点、重要主题开展农业普法。在农资下乡、民法典宣传月、安全生产月、农民丰收节、宪法宣传周等时间节点开展法律法规宣传活动，通过采取电子显示屏、横幅标语、设点集中宣传、分发宣传单等形式，有针对性地开展宣传教育活动。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8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持续做好农村“学法用法示范户”培育工作，截至目前，通过村级推荐、乡镇审核、县级确认层层筛选，全县共认定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445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个学法用法示范户，示范户培育认定比例达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。线下开设法律培训班，积极推动示范户尊法学法，带动身边农民群众守法用法，营造浓厚的学法用法氛围。制定农业综合执法人员与农村学法用法示范户结对普法实施方案，组织农业综合执法人员进村入户，与结对的学法用法示范户进行面对面、一对一的指导服务。聚焦群众关注的几个法律问题，进行详细讲解，同时借助执法案例以案释法、以案示警，进一步提升学法用法示范户的法治素养，助力乡村振兴和社会和谐稳定。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月，我局与市农业农村局组织拍摄的《戏说农村用法绘新貌》入选农业农村部农村学法用法优秀短视频推介名单。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8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设立“农业普法超市”，签约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134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家农资单位，并在其经营场所内开辟农业普法宣传角，免费向群众提供法治宣传资料、定期开展普法宣传、农资安全小常识讲座，为广大群众答疑解惑，有效解决群众找法难题，提高农业法律法规宣传受教群体的精准性。</w:t>
      </w:r>
    </w:p>
    <w:p w:rsidR="004A3F38" w:rsidRDefault="004A3F38" w:rsidP="003E087B">
      <w:pPr>
        <w:pStyle w:val="Heading2"/>
        <w:spacing w:before="0" w:after="0" w:line="600" w:lineRule="exact"/>
        <w:rPr>
          <w:rFonts w:ascii="仿宋_GB2312" w:eastAsia="仿宋_GB2312" w:hAnsi="仿宋_GB2312" w:cs="仿宋_GB2312"/>
          <w:color w:val="000000"/>
          <w:spacing w:val="8"/>
          <w:szCs w:val="32"/>
        </w:rPr>
      </w:pPr>
    </w:p>
    <w:p w:rsidR="004A3F38" w:rsidRPr="003E087B" w:rsidRDefault="004A3F38" w:rsidP="003E087B"/>
    <w:p w:rsidR="004A3F38" w:rsidRDefault="004A3F38" w:rsidP="003E087B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安溪县农业农村局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4A3F38" w:rsidRDefault="004A3F38" w:rsidP="003E087B">
      <w:pPr>
        <w:spacing w:line="600" w:lineRule="exact"/>
        <w:ind w:firstLineChars="1600" w:firstLine="31680"/>
      </w:pP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4A3F38" w:rsidRDefault="004A3F38" w:rsidP="003E087B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4A3F38" w:rsidRDefault="004A3F38">
      <w:pPr>
        <w:pStyle w:val="Acetate"/>
        <w:rPr>
          <w:rFonts w:ascii="仿宋_GB2312" w:eastAsia="仿宋_GB2312" w:hAnsi="仿宋_GB2312" w:cs="仿宋_GB2312"/>
          <w:sz w:val="32"/>
          <w:szCs w:val="32"/>
        </w:rPr>
      </w:pPr>
    </w:p>
    <w:p w:rsidR="004A3F38" w:rsidRDefault="004A3F38">
      <w:pPr>
        <w:pStyle w:val="Acetate"/>
        <w:rPr>
          <w:rFonts w:ascii="仿宋_GB2312" w:eastAsia="仿宋_GB2312" w:hAnsi="仿宋_GB2312" w:cs="仿宋_GB2312"/>
          <w:sz w:val="32"/>
          <w:szCs w:val="32"/>
        </w:rPr>
      </w:pPr>
    </w:p>
    <w:p w:rsidR="004A3F38" w:rsidRDefault="004A3F38">
      <w:pPr>
        <w:pStyle w:val="Acetate"/>
        <w:rPr>
          <w:rFonts w:ascii="仿宋_GB2312" w:eastAsia="仿宋_GB2312" w:hAnsi="仿宋_GB2312" w:cs="仿宋_GB2312"/>
          <w:sz w:val="32"/>
          <w:szCs w:val="32"/>
        </w:rPr>
      </w:pPr>
    </w:p>
    <w:p w:rsidR="004A3F38" w:rsidRDefault="004A3F38">
      <w:pPr>
        <w:pStyle w:val="Acetate"/>
        <w:rPr>
          <w:rFonts w:ascii="仿宋_GB2312" w:eastAsia="仿宋_GB2312" w:hAnsi="仿宋_GB2312" w:cs="仿宋_GB2312"/>
          <w:sz w:val="32"/>
          <w:szCs w:val="32"/>
        </w:rPr>
      </w:pPr>
    </w:p>
    <w:p w:rsidR="004A3F38" w:rsidRDefault="004A3F3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A3F38" w:rsidRDefault="004A3F3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A3F38" w:rsidRDefault="004A3F3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A3F38" w:rsidRDefault="004A3F3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</w:r>
      <w:r w:rsidRPr="005B17F5">
        <w:rPr>
          <w:rFonts w:ascii="仿宋_GB2312" w:eastAsia="仿宋_GB2312" w:hAnsi="仿宋_GB2312" w:cs="仿宋_GB2312"/>
          <w:sz w:val="32"/>
          <w:szCs w:val="32"/>
        </w:rPr>
        <w:pict>
          <v:line id="_x0000_s1026" style="mso-position-horizontal-relative:char;mso-position-vertical-relative:line" from="0,0" to="442.2pt,.05pt" o:gfxdata="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0SCJ1AAAAAIB&#10;AAAPAAAAAAAAAAEAIAAAACIAAABkcnMvZG93bnJldi54bWxQSwECFAAUAAAACACHTuJACQ4TNuYB&#10;AAC2AwAADgAAAAAAAAABACAAAAAjAQAAZHJzL2Uyb0RvYy54bWxQSwUGAAAAAAYABgBZAQAAewUA&#10;AAAA&#10;" strokeweight="1pt">
            <v:stroke joinstyle="miter"/>
            <w10:anchorlock/>
          </v:line>
        </w:pict>
      </w:r>
    </w:p>
    <w:p w:rsidR="004A3F38" w:rsidRDefault="004A3F38" w:rsidP="003E087B">
      <w:pPr>
        <w:spacing w:line="400" w:lineRule="exact"/>
        <w:ind w:firstLineChars="1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抄送：县委依法治县办</w:t>
      </w:r>
    </w:p>
    <w:p w:rsidR="004A3F38" w:rsidRDefault="004A3F3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</w:r>
      <w:r w:rsidRPr="005B17F5">
        <w:rPr>
          <w:rFonts w:ascii="仿宋_GB2312" w:eastAsia="仿宋_GB2312" w:hAnsi="仿宋_GB2312" w:cs="仿宋_GB2312"/>
          <w:sz w:val="32"/>
          <w:szCs w:val="32"/>
        </w:rPr>
        <w:pict>
          <v:line id="_x0000_s1027" style="mso-position-horizontal-relative:char;mso-position-vertical-relative:line" from="0,0" to="442.2pt,.05pt" o:gfxdata="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3RIInUAAAAAgEA&#10;AA8AAAAAAAAAAQAgAAAAIgAAAGRycy9kb3ducmV2LnhtbFBLAQIUABQAAAAIAIdO4kASTM8R5QEA&#10;ALQDAAAOAAAAAAAAAAEAIAAAACMBAABkcnMvZTJvRG9jLnhtbFBLBQYAAAAABgAGAFkBAAB6BQAA&#10;AAA=&#10;" strokeweight="1pt">
            <v:stroke joinstyle="miter"/>
            <w10:anchorlock/>
          </v:line>
        </w:pict>
      </w:r>
    </w:p>
    <w:p w:rsidR="004A3F38" w:rsidRDefault="004A3F38" w:rsidP="00267453">
      <w:pPr>
        <w:spacing w:line="400" w:lineRule="exact"/>
        <w:ind w:firstLineChars="1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安溪县农业农村局办公室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2023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21</w:t>
      </w:r>
      <w:r>
        <w:rPr>
          <w:rFonts w:ascii="仿宋_GB2312" w:eastAsia="仿宋_GB2312" w:hAnsi="仿宋_GB2312" w:cs="仿宋_GB2312" w:hint="eastAsia"/>
          <w:sz w:val="30"/>
          <w:szCs w:val="30"/>
        </w:rPr>
        <w:t>日印发</w:t>
      </w:r>
      <w:r>
        <w:rPr>
          <w:noProof/>
        </w:rPr>
      </w:r>
      <w:r w:rsidRPr="00A7489A">
        <w:rPr>
          <w:rFonts w:ascii="仿宋_GB2312" w:eastAsia="仿宋_GB2312" w:hAnsi="仿宋_GB2312" w:cs="仿宋_GB2312"/>
          <w:sz w:val="32"/>
          <w:szCs w:val="32"/>
        </w:rPr>
        <w:pict>
          <v:line id="_x0000_s1028" style="mso-position-horizontal-relative:char;mso-position-vertical-relative:line" from="0,0" to="442.2pt,.05pt" o:gfxdata="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3RIInUAAAAAgEA&#10;AA8AAAAAAAAAAQAgAAAAIgAAAGRycy9kb3ducmV2LnhtbFBLAQIUABQAAAAIAIdO4kASiQ1a5QEA&#10;ALQDAAAOAAAAAAAAAAEAIAAAACMBAABkcnMvZTJvRG9jLnhtbFBLBQYAAAAABgAGAFkBAAB6BQAA&#10;AAA=&#10;" strokeweight="1pt">
            <v:stroke joinstyle="miter"/>
            <w10:anchorlock/>
          </v:line>
        </w:pict>
      </w:r>
    </w:p>
    <w:sectPr w:rsidR="004A3F38" w:rsidSect="00267453">
      <w:footerReference w:type="even" r:id="rId6"/>
      <w:footerReference w:type="default" r:id="rId7"/>
      <w:pgSz w:w="11906" w:h="16838"/>
      <w:pgMar w:top="1701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F38" w:rsidRDefault="004A3F38" w:rsidP="00A7489A">
      <w:r>
        <w:separator/>
      </w:r>
    </w:p>
  </w:endnote>
  <w:endnote w:type="continuationSeparator" w:id="0">
    <w:p w:rsidR="004A3F38" w:rsidRDefault="004A3F38" w:rsidP="00A74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38" w:rsidRDefault="004A3F38" w:rsidP="001340B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3F38" w:rsidRDefault="004A3F38" w:rsidP="0026745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38" w:rsidRPr="00267453" w:rsidRDefault="004A3F38" w:rsidP="001340BB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267453">
      <w:rPr>
        <w:rStyle w:val="PageNumber"/>
        <w:rFonts w:ascii="宋体" w:hAnsi="宋体"/>
        <w:sz w:val="28"/>
        <w:szCs w:val="28"/>
      </w:rPr>
      <w:fldChar w:fldCharType="begin"/>
    </w:r>
    <w:r w:rsidRPr="00267453">
      <w:rPr>
        <w:rStyle w:val="PageNumber"/>
        <w:rFonts w:ascii="宋体" w:hAnsi="宋体"/>
        <w:sz w:val="28"/>
        <w:szCs w:val="28"/>
      </w:rPr>
      <w:instrText xml:space="preserve">PAGE  </w:instrText>
    </w:r>
    <w:r w:rsidRPr="00267453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- 1 -</w:t>
    </w:r>
    <w:r w:rsidRPr="00267453">
      <w:rPr>
        <w:rStyle w:val="PageNumber"/>
        <w:rFonts w:ascii="宋体" w:hAnsi="宋体"/>
        <w:sz w:val="28"/>
        <w:szCs w:val="28"/>
      </w:rPr>
      <w:fldChar w:fldCharType="end"/>
    </w:r>
  </w:p>
  <w:p w:rsidR="004A3F38" w:rsidRDefault="004A3F38" w:rsidP="0026745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F38" w:rsidRDefault="004A3F38" w:rsidP="00A7489A">
      <w:r>
        <w:separator/>
      </w:r>
    </w:p>
  </w:footnote>
  <w:footnote w:type="continuationSeparator" w:id="0">
    <w:p w:rsidR="004A3F38" w:rsidRDefault="004A3F38" w:rsidP="00A74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UxODExYzdiZGYxZWFiZDNmYTZlNDllNzQwNmFkZGUifQ=="/>
  </w:docVars>
  <w:rsids>
    <w:rsidRoot w:val="55AC341F"/>
    <w:rsid w:val="001340BB"/>
    <w:rsid w:val="00267453"/>
    <w:rsid w:val="003E087B"/>
    <w:rsid w:val="004A3F38"/>
    <w:rsid w:val="00514D1B"/>
    <w:rsid w:val="005B17F5"/>
    <w:rsid w:val="00647637"/>
    <w:rsid w:val="00A7489A"/>
    <w:rsid w:val="01C0309B"/>
    <w:rsid w:val="0C2049FB"/>
    <w:rsid w:val="0CF402BD"/>
    <w:rsid w:val="1B6A60FA"/>
    <w:rsid w:val="2A991922"/>
    <w:rsid w:val="2C3C763E"/>
    <w:rsid w:val="2D880661"/>
    <w:rsid w:val="301607F4"/>
    <w:rsid w:val="322F57DA"/>
    <w:rsid w:val="34A55F9D"/>
    <w:rsid w:val="35642A0E"/>
    <w:rsid w:val="35B75F88"/>
    <w:rsid w:val="37691B67"/>
    <w:rsid w:val="38763ED8"/>
    <w:rsid w:val="3A780E00"/>
    <w:rsid w:val="48C67A12"/>
    <w:rsid w:val="4AA92EEA"/>
    <w:rsid w:val="4B201A81"/>
    <w:rsid w:val="4D893B28"/>
    <w:rsid w:val="51C770FB"/>
    <w:rsid w:val="55AC341F"/>
    <w:rsid w:val="56A50814"/>
    <w:rsid w:val="58B058CC"/>
    <w:rsid w:val="59A20D62"/>
    <w:rsid w:val="61BF1B9C"/>
    <w:rsid w:val="683009B2"/>
    <w:rsid w:val="683464C5"/>
    <w:rsid w:val="693D7F76"/>
    <w:rsid w:val="695D23C7"/>
    <w:rsid w:val="69894F6A"/>
    <w:rsid w:val="6A476607"/>
    <w:rsid w:val="6C5F1FB2"/>
    <w:rsid w:val="6DDB12EC"/>
    <w:rsid w:val="77B1084F"/>
    <w:rsid w:val="78B1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9A"/>
    <w:pPr>
      <w:widowControl w:val="0"/>
      <w:jc w:val="both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489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5791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A748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7915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48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7915"/>
    <w:rPr>
      <w:rFonts w:ascii="Calibri" w:hAnsi="Calibri"/>
      <w:sz w:val="18"/>
      <w:szCs w:val="18"/>
    </w:rPr>
  </w:style>
  <w:style w:type="character" w:customStyle="1" w:styleId="NormalCharacter">
    <w:name w:val="NormalCharacter"/>
    <w:uiPriority w:val="99"/>
    <w:semiHidden/>
    <w:rsid w:val="00A7489A"/>
  </w:style>
  <w:style w:type="paragraph" w:customStyle="1" w:styleId="p1">
    <w:name w:val="p1"/>
    <w:basedOn w:val="Normal"/>
    <w:uiPriority w:val="99"/>
    <w:rsid w:val="00A7489A"/>
    <w:pPr>
      <w:widowControl/>
      <w:wordWrap w:val="0"/>
      <w:spacing w:line="480" w:lineRule="auto"/>
      <w:ind w:firstLine="480"/>
      <w:jc w:val="left"/>
    </w:pPr>
    <w:rPr>
      <w:rFonts w:ascii="??" w:hAnsi="??" w:cs="宋体"/>
      <w:kern w:val="0"/>
      <w:szCs w:val="21"/>
    </w:rPr>
  </w:style>
  <w:style w:type="paragraph" w:customStyle="1" w:styleId="Acetate">
    <w:name w:val="Acetate"/>
    <w:basedOn w:val="Normal"/>
    <w:uiPriority w:val="99"/>
    <w:semiHidden/>
    <w:rsid w:val="00A7489A"/>
    <w:pPr>
      <w:widowControl/>
    </w:pPr>
    <w:rPr>
      <w:sz w:val="18"/>
      <w:szCs w:val="18"/>
    </w:rPr>
  </w:style>
  <w:style w:type="character" w:styleId="PageNumber">
    <w:name w:val="page number"/>
    <w:basedOn w:val="DefaultParagraphFont"/>
    <w:uiPriority w:val="99"/>
    <w:rsid w:val="002674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449</Words>
  <Characters>2563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范特西</dc:creator>
  <cp:keywords/>
  <dc:description/>
  <cp:lastModifiedBy>User</cp:lastModifiedBy>
  <cp:revision>3</cp:revision>
  <cp:lastPrinted>2023-12-26T01:22:00Z</cp:lastPrinted>
  <dcterms:created xsi:type="dcterms:W3CDTF">2023-12-14T07:05:00Z</dcterms:created>
  <dcterms:modified xsi:type="dcterms:W3CDTF">2023-12-26T01:22:00Z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CDC6A83625154DE6B521034EC9127D96_11</vt:lpwstr>
  </property>
</Properties>
</file>