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安农〔2024〕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华文中宋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color w:val="000000"/>
          <w:kern w:val="0"/>
          <w:sz w:val="44"/>
          <w:szCs w:val="44"/>
        </w:rPr>
        <w:t>安溪县农业农村局关于做好</w:t>
      </w: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华文中宋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color w:val="000000"/>
          <w:kern w:val="0"/>
          <w:sz w:val="44"/>
          <w:szCs w:val="44"/>
        </w:rPr>
        <w:t>2024年化肥投入定额制工作的通知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Lucida Sans Unicode" w:eastAsia="仿宋_GB2312" w:cs="Lucida Sans Unicode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各乡镇：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根据《福建省土肥总站</w:t>
      </w:r>
      <w:r>
        <w:rPr>
          <w:rFonts w:ascii="仿宋_GB2312" w:hAnsi="宋体" w:eastAsia="仿宋_GB2312"/>
          <w:color w:val="000000"/>
          <w:sz w:val="32"/>
          <w:szCs w:val="32"/>
        </w:rPr>
        <w:t>关于做好202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</w:t>
      </w:r>
      <w:r>
        <w:rPr>
          <w:rFonts w:ascii="仿宋_GB2312" w:hAnsi="宋体" w:eastAsia="仿宋_GB2312"/>
          <w:color w:val="000000"/>
          <w:sz w:val="32"/>
          <w:szCs w:val="32"/>
        </w:rPr>
        <w:t>年化肥投入定额制工作的通知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》(闽农土肥［2024］6号)要求，在确保我县主要作物稳产增产的前提下，实行主要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作物化肥投入定额制,可以最大限度地减少化肥投入，促进我县农业高质量绿色发展和生态农业建设。现就做好2024年全县化肥投入定额制工作通知如下：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一、任务目标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全</w:t>
      </w:r>
      <w:r>
        <w:rPr>
          <w:rFonts w:ascii="仿宋_GB2312" w:hAnsi="宋体" w:eastAsia="仿宋_GB2312"/>
          <w:color w:val="000000"/>
          <w:sz w:val="32"/>
          <w:szCs w:val="32"/>
        </w:rPr>
        <w:t>县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共计示范推广</w:t>
      </w:r>
      <w:r>
        <w:rPr>
          <w:rFonts w:ascii="仿宋_GB2312" w:hAnsi="宋体" w:eastAsia="仿宋_GB2312"/>
          <w:color w:val="000000"/>
          <w:sz w:val="32"/>
          <w:szCs w:val="32"/>
        </w:rPr>
        <w:t>化肥投入定额制施肥3万亩次。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通过示范推广化肥投入定额施肥，带动</w:t>
      </w:r>
      <w:r>
        <w:rPr>
          <w:rFonts w:ascii="仿宋_GB2312" w:hAnsi="宋体" w:eastAsia="仿宋_GB2312"/>
          <w:color w:val="000000"/>
          <w:sz w:val="32"/>
          <w:szCs w:val="32"/>
        </w:rPr>
        <w:t>全县化肥施用量减少2%以上。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(各乡镇推广面积祥见附表2)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制定定额施肥标准与方案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参照《福建省主要作物化肥投入定额标准（试行）》，按照粮油作物“控氮、减磷、稳钾”、经济作物“减氮、减磷、补钾”的思路。结合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我县</w:t>
      </w:r>
      <w:r>
        <w:rPr>
          <w:rFonts w:ascii="仿宋_GB2312" w:hAnsi="宋体" w:eastAsia="仿宋_GB2312"/>
          <w:color w:val="000000"/>
          <w:sz w:val="32"/>
          <w:szCs w:val="32"/>
        </w:rPr>
        <w:t>农业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生产</w:t>
      </w:r>
      <w:r>
        <w:rPr>
          <w:rFonts w:ascii="仿宋_GB2312" w:hAnsi="宋体" w:eastAsia="仿宋_GB2312"/>
          <w:color w:val="000000"/>
          <w:sz w:val="32"/>
          <w:szCs w:val="32"/>
        </w:rPr>
        <w:t>实际，应用测土配方施肥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和农户施肥调查</w:t>
      </w:r>
      <w:r>
        <w:rPr>
          <w:rFonts w:ascii="仿宋_GB2312" w:hAnsi="宋体" w:eastAsia="仿宋_GB2312"/>
          <w:color w:val="000000"/>
          <w:sz w:val="32"/>
          <w:szCs w:val="32"/>
        </w:rPr>
        <w:t>成果，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提出我县县域主要作物化肥</w:t>
      </w:r>
      <w:r>
        <w:rPr>
          <w:rFonts w:ascii="仿宋_GB2312" w:hAnsi="宋体" w:eastAsia="仿宋_GB2312"/>
          <w:color w:val="000000"/>
          <w:sz w:val="32"/>
          <w:szCs w:val="32"/>
        </w:rPr>
        <w:t>投入定额标准（详见附件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ascii="仿宋_GB2312" w:hAnsi="宋体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主推集成技术模式与措施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因地制宜发展绿肥种植、生草覆盖，实施秸秆还田和增施有机肥，引导使</w:t>
      </w:r>
      <w:r>
        <w:rPr>
          <w:rFonts w:ascii="仿宋_GB2312" w:hAnsi="宋体" w:eastAsia="仿宋_GB2312"/>
          <w:color w:val="000000"/>
          <w:sz w:val="32"/>
          <w:szCs w:val="32"/>
        </w:rPr>
        <w:t>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农家</w:t>
      </w:r>
      <w:r>
        <w:rPr>
          <w:rFonts w:ascii="仿宋_GB2312" w:hAnsi="宋体" w:eastAsia="仿宋_GB2312"/>
          <w:color w:val="000000"/>
          <w:sz w:val="32"/>
          <w:szCs w:val="32"/>
        </w:rPr>
        <w:t>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、沼渣沼液等</w:t>
      </w:r>
      <w:r>
        <w:rPr>
          <w:rFonts w:ascii="仿宋_GB2312" w:hAnsi="宋体" w:eastAsia="仿宋_GB2312"/>
          <w:color w:val="000000"/>
          <w:sz w:val="32"/>
          <w:szCs w:val="32"/>
        </w:rPr>
        <w:t>多元替代减少化肥投入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推广使用作物配方肥、缓(控)释肥、微生物肥、大中微量元素水溶肥等新型肥料，减少平衡肥施用；推广水肥一体化和轻简化施肥配套技术；实行水旱轮作，注重利用石灰、土壤调理剂等酸化耕地治理，实现科学施肥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强化组织实施。</w:t>
      </w:r>
      <w:r>
        <w:rPr>
          <w:rFonts w:ascii="仿宋_GB2312" w:hAnsi="宋体" w:eastAsia="仿宋_GB2312"/>
          <w:color w:val="000000"/>
          <w:sz w:val="32"/>
          <w:szCs w:val="32"/>
        </w:rPr>
        <w:t>编制县域主要农作物化肥投入定额制实施方案和定额标准，确定主推集成技术模式，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细化任务分解，指导</w:t>
      </w:r>
      <w:r>
        <w:rPr>
          <w:rFonts w:ascii="仿宋_GB2312" w:hAnsi="宋体" w:eastAsia="仿宋_GB2312"/>
          <w:color w:val="000000"/>
          <w:sz w:val="32"/>
          <w:szCs w:val="32"/>
        </w:rPr>
        <w:t>示范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推广工作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强化宣传指导。</w:t>
      </w:r>
      <w:r>
        <w:rPr>
          <w:rFonts w:ascii="仿宋_GB2312" w:hAnsi="宋体" w:eastAsia="仿宋_GB2312"/>
          <w:color w:val="000000"/>
          <w:sz w:val="32"/>
          <w:szCs w:val="32"/>
        </w:rPr>
        <w:t>制定县域主要作物定额制施肥标准，在关键农时季节，组织现场观摩、专家巡回指导、技术培训等，确保关键技术入户到田。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通过</w:t>
      </w:r>
      <w:r>
        <w:rPr>
          <w:rFonts w:ascii="仿宋_GB2312" w:hAnsi="宋体" w:eastAsia="仿宋_GB2312"/>
          <w:color w:val="000000"/>
          <w:sz w:val="32"/>
          <w:szCs w:val="32"/>
        </w:rPr>
        <w:t>开展宣传活动，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普及定额制施肥知识，辐射带动更多农户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b/>
          <w:bCs/>
          <w:color w:val="000000"/>
          <w:sz w:val="32"/>
          <w:szCs w:val="32"/>
        </w:rPr>
        <w:t>强化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服务指导</w:t>
      </w:r>
      <w:r>
        <w:rPr>
          <w:rFonts w:ascii="仿宋_GB2312" w:hAnsi="宋体"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各地要按照</w:t>
      </w:r>
      <w:r>
        <w:rPr>
          <w:rFonts w:ascii="仿宋_GB2312" w:hAnsi="宋体" w:eastAsia="仿宋_GB2312"/>
          <w:color w:val="000000"/>
          <w:sz w:val="32"/>
          <w:szCs w:val="32"/>
        </w:rPr>
        <w:t>制定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ascii="仿宋_GB2312" w:hAnsi="宋体" w:eastAsia="仿宋_GB2312"/>
          <w:color w:val="000000"/>
          <w:sz w:val="32"/>
          <w:szCs w:val="32"/>
        </w:rPr>
        <w:t>实施方案，开展实施情况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服务</w:t>
      </w:r>
      <w:r>
        <w:rPr>
          <w:rFonts w:ascii="仿宋_GB2312" w:hAnsi="宋体" w:eastAsia="仿宋_GB2312"/>
          <w:color w:val="000000"/>
          <w:sz w:val="32"/>
          <w:szCs w:val="32"/>
        </w:rPr>
        <w:t>指导，及时掌握项目进展情况，总结好的经验和作法，确保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示范推广</w:t>
      </w:r>
      <w:r>
        <w:rPr>
          <w:rFonts w:ascii="仿宋_GB2312" w:hAnsi="宋体" w:eastAsia="仿宋_GB2312"/>
          <w:color w:val="000000"/>
          <w:sz w:val="32"/>
          <w:szCs w:val="32"/>
        </w:rPr>
        <w:t>工作取得实效。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安溪县主要作物化肥投入定额标准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2024年安溪县化肥定额施肥工作任务指导表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kern w:val="0"/>
          <w:sz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kern w:val="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960" w:firstLineChars="155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>
      <w:pPr>
        <w:spacing w:line="600" w:lineRule="exact"/>
        <w:ind w:firstLine="5120" w:firstLineChars="16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（此件公开发布）</w:t>
      </w:r>
    </w:p>
    <w:p>
      <w:pPr>
        <w:spacing w:line="600" w:lineRule="exact"/>
        <w:ind w:firstLine="5120" w:firstLineChars="16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</w:rPr>
        <w:t>安溪县主要作物化肥投入定额标准</w:t>
      </w:r>
    </w:p>
    <w:p>
      <w:pPr>
        <w:widowControl/>
        <w:shd w:val="clear" w:color="auto" w:fill="FFFFFF"/>
        <w:spacing w:line="34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</w:rPr>
        <w:t>                  </w:t>
      </w:r>
      <w:r>
        <w:rPr>
          <w:rFonts w:hint="eastAsia" w:ascii="仿宋_GB2312" w:hAnsi="宋体" w:eastAsia="仿宋_GB2312" w:cs="宋体"/>
          <w:kern w:val="0"/>
          <w:sz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8"/>
        </w:rPr>
        <w:t>单位：</w:t>
      </w:r>
      <w:r>
        <w:rPr>
          <w:rFonts w:ascii="Times New Roman" w:hAnsi="Times New Roman" w:eastAsia="宋体" w:cs="Times New Roman"/>
          <w:kern w:val="0"/>
          <w:sz w:val="28"/>
        </w:rPr>
        <w:t xml:space="preserve"> kg/</w:t>
      </w:r>
      <w:r>
        <w:rPr>
          <w:rFonts w:hint="eastAsia" w:ascii="仿宋_GB2312" w:hAnsi="宋体" w:eastAsia="仿宋_GB2312" w:cs="宋体"/>
          <w:kern w:val="0"/>
          <w:sz w:val="28"/>
        </w:rPr>
        <w:t>亩(折纯量)</w:t>
      </w:r>
    </w:p>
    <w:tbl>
      <w:tblPr>
        <w:tblStyle w:val="9"/>
        <w:tblW w:w="91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453"/>
        <w:gridCol w:w="1453"/>
        <w:gridCol w:w="1416"/>
        <w:gridCol w:w="1470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主要作物</w:t>
            </w:r>
          </w:p>
        </w:tc>
        <w:tc>
          <w:tcPr>
            <w:tcW w:w="14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目标产量</w:t>
            </w:r>
          </w:p>
        </w:tc>
        <w:tc>
          <w:tcPr>
            <w:tcW w:w="2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近几年推荐施肥量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化肥投入定额标准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化肥总量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其中：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氮肥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化肥总量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其中：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氮肥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粮油作物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早稻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21-25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10-12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中稻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550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23-27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12-13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双晚稻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21-25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11-12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马铃薯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36-41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15-20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甘薯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28-33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12-14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花生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14-20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5-7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蔬菜作物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包菜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30-36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18-21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大白菜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32-37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18-20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莴苣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50-60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20-25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黄瓜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50-63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20-25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番茄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40-47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15-18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辣椒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28-40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10-15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四季豆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23-29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10-12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花椰菜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36-46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18-20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芋头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43-50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18-22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果茶作物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茶叶（干茶）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32-38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18-22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柑橘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42-53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20-25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蜜柚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33-44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15-20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香蕉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60-72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30-35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葡萄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36-50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13-18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荔枝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30-34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13-15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龙眼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1500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58-80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20-30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20</w:t>
            </w:r>
          </w:p>
        </w:tc>
      </w:tr>
    </w:tbl>
    <w:p>
      <w:pPr>
        <w:widowControl/>
        <w:shd w:val="clear" w:color="auto" w:fill="FFFFFF"/>
        <w:spacing w:line="3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beforeLines="50" w:afterLines="50" w:line="500" w:lineRule="exact"/>
        <w:jc w:val="center"/>
        <w:rPr>
          <w:rFonts w:ascii="方正小标宋简体" w:eastAsia="方正小标宋简体"/>
          <w:spacing w:val="-4"/>
          <w:sz w:val="36"/>
          <w:szCs w:val="30"/>
        </w:rPr>
      </w:pPr>
      <w:r>
        <w:rPr>
          <w:rFonts w:hint="eastAsia" w:ascii="方正小标宋简体" w:eastAsia="方正小标宋简体"/>
          <w:spacing w:val="-4"/>
          <w:sz w:val="36"/>
          <w:szCs w:val="30"/>
        </w:rPr>
        <w:t>2024年安溪县化肥定额施肥工作任务指导表</w:t>
      </w:r>
    </w:p>
    <w:tbl>
      <w:tblPr>
        <w:tblStyle w:val="9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73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化肥定额工作示范推广面积（亩）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蓬莱镇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湖头镇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官桥镇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剑斗镇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城厢镇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金谷镇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龙门镇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虎邱镇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芦田镇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感德镇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参内镇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魁斗镇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白濑乡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湖上乡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尚卿乡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大坪乡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西坪镇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龙涓乡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长卿镇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蓝田乡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祥华乡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桃舟乡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exac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福田乡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2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30000</w:t>
            </w:r>
          </w:p>
        </w:tc>
      </w:tr>
    </w:tbl>
    <w:p>
      <w:pPr>
        <w:widowControl/>
        <w:shd w:val="clear" w:color="auto" w:fill="FFFFFF"/>
        <w:ind w:firstLine="5220" w:firstLineChars="1450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20" w:lineRule="exact"/>
        <w:ind w:firstLine="315" w:firstLineChars="150"/>
        <w:rPr>
          <w:rFonts w:ascii="仿宋_GB2312" w:hAnsi="宋体" w:eastAsia="仿宋_GB2312" w:cs="宋体"/>
          <w:sz w:val="28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line id="_x0000_s1029" o:spid="_x0000_s1029" o:spt="20" style="position:absolute;left:0pt;margin-left:3.75pt;margin-top:2.9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sz w:val="28"/>
          <w:szCs w:val="32"/>
        </w:rPr>
        <w:t>抄送：省土肥总站，市土肥站，存档。</w:t>
      </w:r>
    </w:p>
    <w:p>
      <w:pPr>
        <w:spacing w:line="520" w:lineRule="exact"/>
        <w:ind w:firstLine="315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pict>
          <v:line id="_x0000_s1030" o:spid="_x0000_s1030" o:spt="20" style="position:absolute;left:0pt;margin-left:3.75pt;margin-top:31.1pt;height:0pt;width:446.2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1" o:spid="_x0000_s1031" o:spt="20" style="position:absolute;left:0pt;margin-left:3.75pt;margin-top:0.5pt;height:0pt;width:446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sz w:val="28"/>
          <w:szCs w:val="32"/>
        </w:rPr>
        <w:t>安溪县农业农村局办公室</w:t>
      </w:r>
      <w:r>
        <w:rPr>
          <w:rFonts w:ascii="仿宋_GB2312" w:hAnsi="宋体" w:eastAsia="仿宋_GB2312" w:cs="宋体"/>
          <w:sz w:val="28"/>
          <w:szCs w:val="32"/>
        </w:rPr>
        <w:t xml:space="preserve">          </w:t>
      </w:r>
      <w:r>
        <w:rPr>
          <w:rFonts w:hint="eastAsia" w:ascii="仿宋_GB2312" w:hAnsi="宋体" w:eastAsia="仿宋_GB2312" w:cs="宋体"/>
          <w:sz w:val="28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宋体"/>
          <w:sz w:val="28"/>
          <w:szCs w:val="32"/>
        </w:rPr>
        <w:t xml:space="preserve">       202</w:t>
      </w:r>
      <w:r>
        <w:rPr>
          <w:rFonts w:hint="eastAsia" w:ascii="仿宋_GB2312" w:hAnsi="宋体" w:eastAsia="仿宋_GB2312" w:cs="宋体"/>
          <w:sz w:val="28"/>
          <w:szCs w:val="32"/>
        </w:rPr>
        <w:t>4年</w:t>
      </w:r>
      <w:r>
        <w:rPr>
          <w:rFonts w:hint="eastAsia" w:ascii="仿宋_GB2312" w:hAnsi="宋体" w:eastAsia="仿宋_GB2312" w:cs="宋体"/>
          <w:sz w:val="28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32"/>
        </w:rPr>
        <w:t>月</w:t>
      </w:r>
      <w:r>
        <w:rPr>
          <w:rFonts w:hint="eastAsia" w:ascii="仿宋_GB2312" w:hAnsi="宋体" w:eastAsia="仿宋_GB2312" w:cs="宋体"/>
          <w:sz w:val="28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32"/>
        </w:rPr>
        <w:t>日印发</w:t>
      </w:r>
    </w:p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546"/>
    <w:rsid w:val="00053792"/>
    <w:rsid w:val="000653D5"/>
    <w:rsid w:val="000720E0"/>
    <w:rsid w:val="000967A5"/>
    <w:rsid w:val="000C4221"/>
    <w:rsid w:val="001170CD"/>
    <w:rsid w:val="001A58FE"/>
    <w:rsid w:val="0026500F"/>
    <w:rsid w:val="002943D2"/>
    <w:rsid w:val="002A0B63"/>
    <w:rsid w:val="002C6E4B"/>
    <w:rsid w:val="00405678"/>
    <w:rsid w:val="00443B48"/>
    <w:rsid w:val="00471003"/>
    <w:rsid w:val="00482CEC"/>
    <w:rsid w:val="004A3084"/>
    <w:rsid w:val="004D5644"/>
    <w:rsid w:val="00533E67"/>
    <w:rsid w:val="00533F8A"/>
    <w:rsid w:val="00586C27"/>
    <w:rsid w:val="00597082"/>
    <w:rsid w:val="005D1F9A"/>
    <w:rsid w:val="005F707B"/>
    <w:rsid w:val="006178FE"/>
    <w:rsid w:val="0067130B"/>
    <w:rsid w:val="006C263F"/>
    <w:rsid w:val="006D280B"/>
    <w:rsid w:val="00705CFB"/>
    <w:rsid w:val="007C6A8C"/>
    <w:rsid w:val="007F051E"/>
    <w:rsid w:val="00803F81"/>
    <w:rsid w:val="00862B5A"/>
    <w:rsid w:val="008A2153"/>
    <w:rsid w:val="008B044D"/>
    <w:rsid w:val="008B14BD"/>
    <w:rsid w:val="008B4853"/>
    <w:rsid w:val="00931100"/>
    <w:rsid w:val="00A17619"/>
    <w:rsid w:val="00A2597B"/>
    <w:rsid w:val="00A305CF"/>
    <w:rsid w:val="00A340FB"/>
    <w:rsid w:val="00A341F4"/>
    <w:rsid w:val="00A45DDD"/>
    <w:rsid w:val="00A72E70"/>
    <w:rsid w:val="00A9019B"/>
    <w:rsid w:val="00AA52A5"/>
    <w:rsid w:val="00B6260C"/>
    <w:rsid w:val="00B8251D"/>
    <w:rsid w:val="00BE7736"/>
    <w:rsid w:val="00C71980"/>
    <w:rsid w:val="00D463F6"/>
    <w:rsid w:val="00D801C5"/>
    <w:rsid w:val="00DB7C5D"/>
    <w:rsid w:val="00E354EB"/>
    <w:rsid w:val="00E70B54"/>
    <w:rsid w:val="00EA12C5"/>
    <w:rsid w:val="00EF690D"/>
    <w:rsid w:val="00F1118F"/>
    <w:rsid w:val="00F14DEB"/>
    <w:rsid w:val="00F34CEA"/>
    <w:rsid w:val="00F516D1"/>
    <w:rsid w:val="00F7477A"/>
    <w:rsid w:val="00FA4546"/>
    <w:rsid w:val="00FF1EEE"/>
    <w:rsid w:val="3AE84312"/>
    <w:rsid w:val="5F2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1"/>
    <w:basedOn w:val="8"/>
    <w:uiPriority w:val="0"/>
  </w:style>
  <w:style w:type="character" w:customStyle="1" w:styleId="12">
    <w:name w:val="日期 Char"/>
    <w:basedOn w:val="8"/>
    <w:link w:val="4"/>
    <w:semiHidden/>
    <w:uiPriority w:val="99"/>
  </w:style>
  <w:style w:type="paragraph" w:customStyle="1" w:styleId="13">
    <w:name w:val="fontstyle2"/>
    <w:next w:val="3"/>
    <w:link w:val="14"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customStyle="1" w:styleId="14">
    <w:name w:val="fontstyle2 Char"/>
    <w:basedOn w:val="8"/>
    <w:link w:val="13"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3387F-A140-4082-ABB3-08DD2E1A9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1726</Characters>
  <Lines>14</Lines>
  <Paragraphs>4</Paragraphs>
  <TotalTime>0</TotalTime>
  <ScaleCrop>false</ScaleCrop>
  <LinksUpToDate>false</LinksUpToDate>
  <CharactersWithSpaces>2024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2012</dc:creator>
  <cp:lastModifiedBy>Administrator</cp:lastModifiedBy>
  <cp:lastPrinted>2023-11-08T00:42:00Z</cp:lastPrinted>
  <dcterms:modified xsi:type="dcterms:W3CDTF">2024-07-02T02:31:37Z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