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pPr>
    </w:p>
    <w:tbl>
      <w:tblPr>
        <w:tblStyle w:val="13"/>
        <w:tblW w:w="9174" w:type="dxa"/>
        <w:tblInd w:w="0" w:type="dxa"/>
        <w:tblLayout w:type="fixed"/>
        <w:tblCellMar>
          <w:top w:w="0" w:type="dxa"/>
          <w:left w:w="108" w:type="dxa"/>
          <w:bottom w:w="0" w:type="dxa"/>
          <w:right w:w="108" w:type="dxa"/>
        </w:tblCellMar>
      </w:tblPr>
      <w:tblGrid>
        <w:gridCol w:w="7877"/>
        <w:gridCol w:w="1297"/>
      </w:tblGrid>
      <w:tr>
        <w:tblPrEx>
          <w:tblLayout w:type="fixed"/>
          <w:tblCellMar>
            <w:top w:w="0" w:type="dxa"/>
            <w:left w:w="108" w:type="dxa"/>
            <w:bottom w:w="0" w:type="dxa"/>
            <w:right w:w="108" w:type="dxa"/>
          </w:tblCellMar>
        </w:tblPrEx>
        <w:tc>
          <w:tcPr>
            <w:tcW w:w="7877" w:type="dxa"/>
          </w:tcPr>
          <w:p>
            <w:pPr>
              <w:jc w:val="distribute"/>
              <w:rPr>
                <w:rFonts w:ascii="方正小标宋简体" w:eastAsia="方正小标宋简体"/>
                <w:color w:val="FF0000"/>
                <w:spacing w:val="-17"/>
                <w:w w:val="66"/>
                <w:sz w:val="56"/>
                <w:szCs w:val="41"/>
              </w:rPr>
            </w:pPr>
            <w:r>
              <w:rPr>
                <w:rFonts w:hint="eastAsia" w:ascii="方正小标宋简体" w:eastAsia="方正小标宋简体"/>
                <w:color w:val="FF0000"/>
                <w:sz w:val="56"/>
                <w:szCs w:val="41"/>
              </w:rPr>
              <w:t>安溪县农业农村局</w:t>
            </w:r>
          </w:p>
        </w:tc>
        <w:tc>
          <w:tcPr>
            <w:tcW w:w="1297" w:type="dxa"/>
            <w:vAlign w:val="center"/>
          </w:tcPr>
          <w:p>
            <w:pPr>
              <w:jc w:val="center"/>
              <w:rPr>
                <w:rFonts w:ascii="方正小标宋简体" w:eastAsia="方正小标宋简体"/>
                <w:b/>
                <w:color w:val="FF0000"/>
                <w:spacing w:val="-17"/>
                <w:sz w:val="56"/>
                <w:szCs w:val="41"/>
              </w:rPr>
            </w:pPr>
          </w:p>
        </w:tc>
      </w:tr>
      <w:tr>
        <w:tblPrEx>
          <w:tblLayout w:type="fixed"/>
          <w:tblCellMar>
            <w:top w:w="0" w:type="dxa"/>
            <w:left w:w="108" w:type="dxa"/>
            <w:bottom w:w="0" w:type="dxa"/>
            <w:right w:w="108" w:type="dxa"/>
          </w:tblCellMar>
        </w:tblPrEx>
        <w:tc>
          <w:tcPr>
            <w:tcW w:w="7877" w:type="dxa"/>
          </w:tcPr>
          <w:p>
            <w:pPr>
              <w:jc w:val="distribute"/>
              <w:rPr>
                <w:color w:val="FF0000"/>
                <w:sz w:val="56"/>
              </w:rPr>
            </w:pPr>
            <w:r>
              <w:rPr>
                <w:rFonts w:hint="eastAsia" w:ascii="方正小标宋简体" w:eastAsia="方正小标宋简体"/>
                <w:color w:val="FF0000"/>
                <w:sz w:val="56"/>
                <w:szCs w:val="41"/>
              </w:rPr>
              <w:t>安溪县发展和改革局</w:t>
            </w:r>
          </w:p>
        </w:tc>
        <w:tc>
          <w:tcPr>
            <w:tcW w:w="1297" w:type="dxa"/>
            <w:vMerge w:val="restart"/>
          </w:tcPr>
          <w:p>
            <w:pPr>
              <w:rPr>
                <w:color w:val="FF0000"/>
              </w:rPr>
            </w:pPr>
            <w:r>
              <w:rPr>
                <w:rFonts w:hint="eastAsia" w:ascii="方正小标宋简体" w:eastAsia="方正小标宋简体"/>
                <w:b/>
                <w:color w:val="FF0000"/>
                <w:spacing w:val="-17"/>
                <w:sz w:val="56"/>
                <w:szCs w:val="41"/>
              </w:rPr>
              <w:t>文件</w:t>
            </w:r>
          </w:p>
        </w:tc>
      </w:tr>
      <w:tr>
        <w:tblPrEx>
          <w:tblLayout w:type="fixed"/>
          <w:tblCellMar>
            <w:top w:w="0" w:type="dxa"/>
            <w:left w:w="108" w:type="dxa"/>
            <w:bottom w:w="0" w:type="dxa"/>
            <w:right w:w="108" w:type="dxa"/>
          </w:tblCellMar>
        </w:tblPrEx>
        <w:tc>
          <w:tcPr>
            <w:tcW w:w="7877" w:type="dxa"/>
          </w:tcPr>
          <w:p>
            <w:pPr>
              <w:jc w:val="distribute"/>
              <w:rPr>
                <w:color w:val="FF0000"/>
                <w:sz w:val="56"/>
              </w:rPr>
            </w:pPr>
            <w:r>
              <w:rPr>
                <w:rFonts w:hint="eastAsia" w:ascii="方正小标宋简体" w:eastAsia="方正小标宋简体"/>
                <w:color w:val="FF0000"/>
                <w:sz w:val="56"/>
                <w:szCs w:val="41"/>
              </w:rPr>
              <w:t>安溪县财政局</w:t>
            </w:r>
          </w:p>
        </w:tc>
        <w:tc>
          <w:tcPr>
            <w:tcW w:w="1297" w:type="dxa"/>
            <w:vMerge w:val="continue"/>
          </w:tcPr>
          <w:p>
            <w:pPr>
              <w:rPr>
                <w:color w:val="FF0000"/>
              </w:rPr>
            </w:pPr>
          </w:p>
        </w:tc>
      </w:tr>
    </w:tbl>
    <w:p>
      <w:pPr>
        <w:rPr>
          <w:color w:val="FF0000"/>
        </w:rPr>
      </w:pPr>
    </w:p>
    <w:p/>
    <w:p>
      <w:pPr>
        <w:jc w:val="center"/>
        <w:rPr>
          <w:szCs w:val="41"/>
        </w:rPr>
      </w:pPr>
      <w:r>
        <w:rPr>
          <w:rFonts w:hint="eastAsia"/>
        </w:rPr>
        <w:t>安农</w:t>
      </w:r>
      <w:r>
        <w:rPr>
          <w:rFonts w:hint="eastAsia"/>
          <w:lang w:eastAsia="zh-CN"/>
        </w:rPr>
        <w:t>规</w:t>
      </w:r>
      <w:r>
        <w:rPr>
          <w:rFonts w:hint="eastAsia"/>
        </w:rPr>
        <w:t>〔</w:t>
      </w:r>
      <w:r>
        <w:t>202</w:t>
      </w:r>
      <w:r>
        <w:rPr>
          <w:rFonts w:hint="eastAsia"/>
          <w:lang w:val="en-US" w:eastAsia="zh-CN"/>
        </w:rPr>
        <w:t>4</w:t>
      </w:r>
      <w:r>
        <w:rPr>
          <w:rFonts w:hint="eastAsia"/>
        </w:rPr>
        <w:t>〕</w:t>
      </w:r>
      <w:r>
        <w:rPr>
          <w:rFonts w:hint="default"/>
          <w:lang w:val="en-US"/>
        </w:rPr>
        <w:t>1</w:t>
      </w:r>
      <w:r>
        <w:rPr>
          <w:rFonts w:hint="eastAsia"/>
        </w:rPr>
        <w:t>号</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715000" cy="0"/>
                <wp:effectExtent l="0" t="10795" r="0" b="1778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8pt;height:0pt;width:450pt;z-index:251659264;mso-width-relative:page;mso-height-relative:page;" filled="f" stroked="t" coordsize="21600,21600" o:gfxdata="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rc1ZfUAAAABgEAAA8AAAAAAAAAAQAgAAAAIgAAAGRycy9k&#10;b3ducmV2LnhtbFBLAQIUABQAAAAIAIdO4kBZF8aszQEAAI4DAAAOAAAAAAAAAAEAIAAAACMBAABk&#10;cnMvZTJvRG9jLnhtbFBLBQYAAAAABgAGAFkBAABiBQAAAAA=&#10;">
                <v:fill on="f" focussize="0,0"/>
                <v:stroke weight="1.75pt" color="#FF0000" joinstyle="round"/>
                <v:imagedata o:title=""/>
                <o:lock v:ext="edit" aspectratio="f"/>
              </v:line>
            </w:pict>
          </mc:Fallback>
        </mc:AlternateContent>
      </w:r>
    </w:p>
    <w:p/>
    <w:p>
      <w:pPr>
        <w:spacing w:line="740" w:lineRule="exact"/>
        <w:jc w:val="center"/>
        <w:rPr>
          <w:rFonts w:ascii="方正小标宋简体" w:eastAsia="方正小标宋简体"/>
          <w:spacing w:val="-4"/>
          <w:w w:val="90"/>
          <w:sz w:val="44"/>
        </w:rPr>
      </w:pPr>
      <w:r>
        <w:rPr>
          <w:rFonts w:hint="eastAsia" w:ascii="方正小标宋简体" w:eastAsia="方正小标宋简体"/>
          <w:w w:val="90"/>
          <w:sz w:val="44"/>
        </w:rPr>
        <w:t>安溪县农业农村局</w:t>
      </w:r>
      <w:r>
        <w:rPr>
          <w:rFonts w:ascii="方正小标宋简体" w:eastAsia="方正小标宋简体"/>
          <w:w w:val="90"/>
          <w:sz w:val="44"/>
        </w:rPr>
        <w:t xml:space="preserve">  </w:t>
      </w:r>
      <w:r>
        <w:rPr>
          <w:rFonts w:hint="eastAsia" w:ascii="方正小标宋简体" w:eastAsia="方正小标宋简体"/>
          <w:spacing w:val="-4"/>
          <w:w w:val="90"/>
          <w:sz w:val="44"/>
        </w:rPr>
        <w:t>安溪县发展和改革局</w:t>
      </w:r>
    </w:p>
    <w:p>
      <w:pPr>
        <w:spacing w:line="740" w:lineRule="exact"/>
        <w:jc w:val="center"/>
        <w:rPr>
          <w:rFonts w:hint="eastAsia" w:ascii="方正小标宋简体" w:eastAsia="方正小标宋简体"/>
          <w:w w:val="90"/>
          <w:sz w:val="44"/>
        </w:rPr>
      </w:pPr>
      <w:r>
        <w:rPr>
          <w:rFonts w:hint="eastAsia" w:ascii="方正小标宋简体" w:eastAsia="方正小标宋简体"/>
          <w:w w:val="90"/>
          <w:sz w:val="44"/>
        </w:rPr>
        <w:t>安溪县财政局</w:t>
      </w:r>
      <w:r>
        <w:rPr>
          <w:rFonts w:hint="eastAsia" w:ascii="方正小标宋简体" w:eastAsia="方正小标宋简体"/>
          <w:w w:val="90"/>
          <w:sz w:val="44"/>
          <w:lang w:val="en-US" w:eastAsia="zh-CN"/>
        </w:rPr>
        <w:t xml:space="preserve"> </w:t>
      </w:r>
      <w:r>
        <w:rPr>
          <w:rFonts w:hint="eastAsia" w:ascii="方正小标宋简体" w:eastAsia="方正小标宋简体"/>
          <w:w w:val="90"/>
          <w:sz w:val="44"/>
        </w:rPr>
        <w:t>关于扶持粮油生产</w:t>
      </w:r>
    </w:p>
    <w:p>
      <w:pPr>
        <w:spacing w:line="740" w:lineRule="exact"/>
        <w:jc w:val="center"/>
        <w:rPr>
          <w:rFonts w:ascii="方正小标宋简体" w:eastAsia="方正小标宋简体"/>
          <w:spacing w:val="-4"/>
          <w:w w:val="95"/>
          <w:sz w:val="44"/>
        </w:rPr>
      </w:pPr>
      <w:r>
        <w:rPr>
          <w:rFonts w:hint="eastAsia" w:ascii="方正小标宋简体" w:eastAsia="方正小标宋简体"/>
          <w:spacing w:val="-4"/>
          <w:w w:val="90"/>
          <w:sz w:val="44"/>
        </w:rPr>
        <w:t>保障粮食安全若干措施的通知</w:t>
      </w:r>
    </w:p>
    <w:p>
      <w:pPr>
        <w:spacing w:line="560" w:lineRule="exact"/>
        <w:rPr>
          <w:rFonts w:ascii="仿宋_GB2312" w:cs="仿宋_GB2312"/>
          <w:spacing w:val="6"/>
          <w:szCs w:val="32"/>
        </w:rPr>
      </w:pPr>
    </w:p>
    <w:p>
      <w:pPr>
        <w:spacing w:line="580" w:lineRule="exact"/>
      </w:pPr>
      <w:r>
        <w:rPr>
          <w:rFonts w:hint="eastAsia" w:ascii="仿宋_GB2312" w:hAnsi="仿宋_GB2312" w:cs="仿宋_GB2312"/>
          <w:szCs w:val="32"/>
        </w:rPr>
        <w:t>各乡镇</w:t>
      </w:r>
      <w:r>
        <w:rPr>
          <w:rFonts w:hint="eastAsia" w:ascii="仿宋_GB2312" w:hAnsi="仿宋_GB2312" w:cs="仿宋_GB2312"/>
          <w:szCs w:val="32"/>
          <w:lang w:eastAsia="zh-CN"/>
        </w:rPr>
        <w:t>人民政府</w:t>
      </w:r>
      <w:r>
        <w:rPr>
          <w:rFonts w:hint="eastAsia" w:ascii="仿宋_GB2312" w:hAnsi="仿宋_GB2312" w:cs="仿宋_GB2312"/>
          <w:szCs w:val="32"/>
        </w:rPr>
        <w:t>、县直各有关单位：</w:t>
      </w:r>
    </w:p>
    <w:p>
      <w:pPr>
        <w:spacing w:line="580" w:lineRule="exact"/>
        <w:ind w:firstLine="640" w:firstLineChars="200"/>
        <w:rPr>
          <w:rFonts w:ascii="仿宋_GB2312" w:cs="仿宋_GB2312"/>
          <w:szCs w:val="32"/>
        </w:rPr>
      </w:pPr>
      <w:r>
        <w:rPr>
          <w:rFonts w:hint="eastAsia" w:ascii="仿宋_GB2312" w:hAnsi="仿宋_GB2312" w:cs="仿宋_GB2312"/>
          <w:szCs w:val="32"/>
        </w:rPr>
        <w:t>为进一步贯彻落实《福建省人民政府办公厅关于稳定发展粮食生产九条措施的通知》</w:t>
      </w:r>
      <w:r>
        <w:rPr>
          <w:rFonts w:ascii="仿宋_GB2312" w:hAnsi="仿宋_GB2312" w:cs="仿宋_GB2312"/>
          <w:szCs w:val="32"/>
        </w:rPr>
        <w:t>(</w:t>
      </w:r>
      <w:r>
        <w:rPr>
          <w:rFonts w:hint="eastAsia" w:ascii="仿宋_GB2312" w:hAnsi="仿宋_GB2312" w:cs="仿宋_GB2312"/>
          <w:szCs w:val="32"/>
        </w:rPr>
        <w:t>闽政办〔</w:t>
      </w:r>
      <w:r>
        <w:rPr>
          <w:rFonts w:ascii="仿宋_GB2312" w:hAnsi="仿宋_GB2312" w:cs="仿宋_GB2312"/>
          <w:szCs w:val="32"/>
        </w:rPr>
        <w:t>2021</w:t>
      </w:r>
      <w:r>
        <w:rPr>
          <w:rFonts w:hint="eastAsia" w:ascii="仿宋_GB2312" w:hAnsi="仿宋_GB2312" w:cs="仿宋_GB2312"/>
          <w:szCs w:val="32"/>
        </w:rPr>
        <w:t>〕</w:t>
      </w:r>
      <w:r>
        <w:rPr>
          <w:rFonts w:ascii="仿宋_GB2312" w:hAnsi="仿宋_GB2312" w:cs="仿宋_GB2312"/>
          <w:szCs w:val="32"/>
        </w:rPr>
        <w:t>24</w:t>
      </w:r>
      <w:r>
        <w:rPr>
          <w:rFonts w:hint="eastAsia" w:ascii="仿宋_GB2312" w:hAnsi="仿宋_GB2312" w:cs="仿宋_GB2312"/>
          <w:szCs w:val="32"/>
        </w:rPr>
        <w:t>号</w:t>
      </w:r>
      <w:r>
        <w:rPr>
          <w:rFonts w:ascii="仿宋_GB2312" w:hAnsi="仿宋_GB2312" w:cs="仿宋_GB2312"/>
          <w:szCs w:val="32"/>
        </w:rPr>
        <w:t>)</w:t>
      </w:r>
      <w:r>
        <w:rPr>
          <w:rFonts w:hint="eastAsia" w:ascii="仿宋_GB2312" w:hAnsi="仿宋_GB2312" w:cs="仿宋_GB2312"/>
          <w:szCs w:val="32"/>
        </w:rPr>
        <w:t>及《泉州市贯彻落实粮食安全责任制领导小组办公室</w:t>
      </w:r>
      <w:r>
        <w:rPr>
          <w:rFonts w:ascii="仿宋_GB2312" w:hAnsi="仿宋_GB2312" w:cs="仿宋_GB2312"/>
          <w:szCs w:val="32"/>
        </w:rPr>
        <w:t xml:space="preserve"> </w:t>
      </w:r>
      <w:r>
        <w:rPr>
          <w:rFonts w:hint="eastAsia" w:ascii="仿宋_GB2312" w:hAnsi="仿宋_GB2312" w:cs="仿宋_GB2312"/>
          <w:szCs w:val="32"/>
        </w:rPr>
        <w:t>泉州市发展和改革委员会</w:t>
      </w:r>
      <w:r>
        <w:rPr>
          <w:rFonts w:ascii="仿宋_GB2312" w:hAnsi="仿宋_GB2312" w:cs="仿宋_GB2312"/>
          <w:szCs w:val="32"/>
        </w:rPr>
        <w:t xml:space="preserve"> </w:t>
      </w:r>
      <w:r>
        <w:rPr>
          <w:rFonts w:hint="eastAsia" w:ascii="仿宋_GB2312" w:hAnsi="仿宋_GB2312" w:cs="仿宋_GB2312"/>
          <w:szCs w:val="32"/>
        </w:rPr>
        <w:t>泉州市财政局</w:t>
      </w:r>
      <w:r>
        <w:rPr>
          <w:rFonts w:ascii="仿宋_GB2312" w:hAnsi="仿宋_GB2312" w:cs="仿宋_GB2312"/>
          <w:szCs w:val="32"/>
        </w:rPr>
        <w:t xml:space="preserve"> </w:t>
      </w:r>
      <w:r>
        <w:rPr>
          <w:rFonts w:hint="eastAsia" w:ascii="仿宋_GB2312" w:hAnsi="仿宋_GB2312" w:cs="仿宋_GB2312"/>
          <w:szCs w:val="32"/>
        </w:rPr>
        <w:t>泉州市农业农村局关于扶持粮食生产保障粮食安全若干措施的通知》（泉农规〔</w:t>
      </w:r>
      <w:r>
        <w:rPr>
          <w:rFonts w:ascii="仿宋_GB2312" w:hAnsi="仿宋_GB2312" w:cs="仿宋_GB2312"/>
          <w:szCs w:val="32"/>
        </w:rPr>
        <w:t>2023</w:t>
      </w:r>
      <w:r>
        <w:rPr>
          <w:rFonts w:hint="eastAsia" w:ascii="仿宋_GB2312" w:hAnsi="仿宋_GB2312" w:cs="仿宋_GB2312"/>
          <w:szCs w:val="32"/>
        </w:rPr>
        <w:t>〕</w:t>
      </w:r>
      <w:r>
        <w:rPr>
          <w:rFonts w:ascii="仿宋_GB2312" w:hAnsi="仿宋_GB2312" w:cs="仿宋_GB2312"/>
          <w:szCs w:val="32"/>
        </w:rPr>
        <w:t>3</w:t>
      </w:r>
      <w:r>
        <w:rPr>
          <w:rFonts w:hint="eastAsia" w:ascii="仿宋_GB2312" w:hAnsi="仿宋_GB2312" w:cs="仿宋_GB2312"/>
          <w:szCs w:val="32"/>
        </w:rPr>
        <w:t>号）精神，提升粮油生产综合能力，着力稳面积、提单产、优品质，促进粮油产业全链条发展，全方位夯实粮食安全根基，按照“市有奖补，县有叠加”原则，制定我县扶持粮油生产强农惠农政策措施。</w:t>
      </w:r>
    </w:p>
    <w:p>
      <w:pPr>
        <w:spacing w:line="580" w:lineRule="exact"/>
        <w:ind w:firstLine="620" w:firstLineChars="200"/>
        <w:rPr>
          <w:rFonts w:ascii="黑体" w:eastAsia="黑体"/>
          <w:color w:val="000000"/>
          <w:sz w:val="31"/>
          <w:szCs w:val="31"/>
        </w:rPr>
      </w:pPr>
      <w:r>
        <w:rPr>
          <w:rFonts w:hint="eastAsia" w:ascii="黑体" w:eastAsia="黑体"/>
          <w:color w:val="000000"/>
          <w:sz w:val="31"/>
          <w:szCs w:val="31"/>
        </w:rPr>
        <w:t>一、保障措施</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（一）压实属地责任</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w:t>
      </w:r>
      <w:r>
        <w:rPr>
          <w:rFonts w:hint="eastAsia" w:ascii="仿宋_GB2312" w:hAnsi="仿宋_GB2312" w:cs="仿宋_GB2312"/>
          <w:b/>
          <w:color w:val="000000"/>
          <w:szCs w:val="32"/>
        </w:rPr>
        <w:t>落实粮食安全责任。</w:t>
      </w:r>
      <w:r>
        <w:rPr>
          <w:rFonts w:hint="eastAsia" w:ascii="仿宋_GB2312" w:hAnsi="仿宋_GB2312" w:cs="仿宋_GB2312"/>
          <w:color w:val="000000"/>
          <w:szCs w:val="32"/>
        </w:rPr>
        <w:t>落实粮食安全党政同责，粮油生产任务分解细化到乡镇、到村，层层抓落实，保质保量完成粮油生产任务。</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2.</w:t>
      </w:r>
      <w:r>
        <w:rPr>
          <w:rFonts w:hint="eastAsia" w:ascii="仿宋_GB2312" w:hAnsi="仿宋_GB2312" w:cs="仿宋_GB2312"/>
          <w:b/>
          <w:color w:val="000000"/>
          <w:szCs w:val="32"/>
        </w:rPr>
        <w:t>完善考核奖惩机制。</w:t>
      </w:r>
      <w:r>
        <w:rPr>
          <w:rFonts w:hint="eastAsia" w:ascii="仿宋_GB2312" w:hAnsi="仿宋_GB2312" w:cs="仿宋_GB2312"/>
          <w:bCs/>
          <w:color w:val="000000"/>
          <w:szCs w:val="32"/>
        </w:rPr>
        <w:t>市一级，对</w:t>
      </w:r>
      <w:r>
        <w:rPr>
          <w:rFonts w:hint="eastAsia" w:ascii="仿宋_GB2312" w:hAnsi="仿宋_GB2312" w:cs="仿宋_GB2312"/>
          <w:color w:val="000000"/>
          <w:szCs w:val="32"/>
        </w:rPr>
        <w:t>发展粮食生产成效显著的镇、村分别给予</w:t>
      </w:r>
      <w:r>
        <w:rPr>
          <w:rFonts w:ascii="仿宋_GB2312" w:hAnsi="仿宋_GB2312" w:cs="仿宋_GB2312"/>
          <w:color w:val="000000"/>
          <w:szCs w:val="32"/>
        </w:rPr>
        <w:t>3</w:t>
      </w:r>
      <w:r>
        <w:rPr>
          <w:rFonts w:hint="eastAsia" w:ascii="仿宋_GB2312" w:hAnsi="仿宋_GB2312" w:cs="仿宋_GB2312"/>
          <w:color w:val="000000"/>
          <w:szCs w:val="32"/>
        </w:rPr>
        <w:t>万元、</w:t>
      </w:r>
      <w:r>
        <w:rPr>
          <w:rFonts w:ascii="仿宋_GB2312" w:hAnsi="仿宋_GB2312" w:cs="仿宋_GB2312"/>
          <w:color w:val="000000"/>
          <w:szCs w:val="32"/>
        </w:rPr>
        <w:t>2</w:t>
      </w:r>
      <w:r>
        <w:rPr>
          <w:rFonts w:hint="eastAsia" w:ascii="仿宋_GB2312" w:hAnsi="仿宋_GB2312" w:cs="仿宋_GB2312"/>
          <w:color w:val="000000"/>
          <w:szCs w:val="32"/>
        </w:rPr>
        <w:t>万元的奖励；对未完成粮食生产约束性任务的县（市、区）在年度乡村振兴战略实绩考核中不得定为优秀档次。</w:t>
      </w:r>
      <w:r>
        <w:rPr>
          <w:rFonts w:hint="eastAsia" w:ascii="仿宋_GB2312" w:hAnsi="仿宋_GB2312" w:cs="仿宋_GB2312"/>
          <w:szCs w:val="32"/>
          <w:shd w:val="clear" w:color="auto" w:fill="FFFFFF"/>
        </w:rPr>
        <w:t>县一级，在开展市级创建的基础上按照每年不少于</w:t>
      </w:r>
      <w:r>
        <w:rPr>
          <w:rFonts w:ascii="仿宋_GB2312" w:hAnsi="仿宋_GB2312" w:cs="仿宋_GB2312"/>
          <w:szCs w:val="32"/>
          <w:shd w:val="clear" w:color="auto" w:fill="FFFFFF"/>
        </w:rPr>
        <w:t>3</w:t>
      </w:r>
      <w:r>
        <w:rPr>
          <w:rFonts w:hint="eastAsia" w:ascii="仿宋_GB2312" w:hAnsi="仿宋_GB2312" w:cs="仿宋_GB2312"/>
          <w:szCs w:val="32"/>
          <w:shd w:val="clear" w:color="auto" w:fill="FFFFFF"/>
        </w:rPr>
        <w:t>个县级</w:t>
      </w:r>
      <w:r>
        <w:rPr>
          <w:rFonts w:hint="eastAsia" w:ascii="仿宋_GB2312" w:hAnsi="仿宋_GB2312" w:cs="仿宋_GB2312"/>
          <w:bCs/>
          <w:szCs w:val="32"/>
        </w:rPr>
        <w:t>粮食生产示范</w:t>
      </w:r>
      <w:r>
        <w:rPr>
          <w:rFonts w:hint="eastAsia" w:ascii="仿宋_GB2312" w:hAnsi="仿宋_GB2312" w:cs="仿宋_GB2312"/>
          <w:szCs w:val="32"/>
          <w:shd w:val="clear" w:color="auto" w:fill="FFFFFF"/>
        </w:rPr>
        <w:t>乡镇、</w:t>
      </w:r>
      <w:r>
        <w:rPr>
          <w:rFonts w:ascii="仿宋_GB2312" w:hAnsi="仿宋_GB2312" w:cs="仿宋_GB2312"/>
          <w:szCs w:val="32"/>
          <w:shd w:val="clear" w:color="auto" w:fill="FFFFFF"/>
        </w:rPr>
        <w:t>10</w:t>
      </w:r>
      <w:r>
        <w:rPr>
          <w:rFonts w:hint="eastAsia" w:ascii="仿宋_GB2312" w:hAnsi="仿宋_GB2312" w:cs="仿宋_GB2312"/>
          <w:szCs w:val="32"/>
          <w:shd w:val="clear" w:color="auto" w:fill="FFFFFF"/>
        </w:rPr>
        <w:t>个县级</w:t>
      </w:r>
      <w:r>
        <w:rPr>
          <w:rFonts w:hint="eastAsia" w:ascii="仿宋_GB2312" w:hAnsi="仿宋_GB2312" w:cs="仿宋_GB2312"/>
          <w:bCs/>
          <w:szCs w:val="32"/>
        </w:rPr>
        <w:t>粮食生产示范</w:t>
      </w:r>
      <w:r>
        <w:rPr>
          <w:rFonts w:hint="eastAsia" w:ascii="仿宋_GB2312" w:hAnsi="仿宋_GB2312" w:cs="仿宋_GB2312"/>
          <w:szCs w:val="32"/>
          <w:shd w:val="clear" w:color="auto" w:fill="FFFFFF"/>
        </w:rPr>
        <w:t>村进行创建，分别给予</w:t>
      </w:r>
      <w:r>
        <w:rPr>
          <w:rFonts w:hint="eastAsia" w:ascii="仿宋_GB2312" w:hAnsi="仿宋_GB2312" w:cs="仿宋_GB2312"/>
          <w:bCs/>
          <w:szCs w:val="32"/>
        </w:rPr>
        <w:t>奖励</w:t>
      </w:r>
      <w:r>
        <w:rPr>
          <w:rFonts w:ascii="仿宋_GB2312" w:hAnsi="仿宋_GB2312" w:cs="仿宋_GB2312"/>
          <w:bCs/>
          <w:szCs w:val="32"/>
        </w:rPr>
        <w:t>3</w:t>
      </w:r>
      <w:r>
        <w:rPr>
          <w:rFonts w:hint="eastAsia" w:ascii="仿宋_GB2312" w:hAnsi="仿宋_GB2312" w:cs="仿宋_GB2312"/>
          <w:bCs/>
          <w:szCs w:val="32"/>
        </w:rPr>
        <w:t>万元、</w:t>
      </w:r>
      <w:r>
        <w:rPr>
          <w:rFonts w:ascii="仿宋_GB2312" w:hAnsi="仿宋_GB2312" w:cs="仿宋_GB2312"/>
          <w:bCs/>
          <w:szCs w:val="32"/>
        </w:rPr>
        <w:t>2</w:t>
      </w:r>
      <w:r>
        <w:rPr>
          <w:rFonts w:hint="eastAsia" w:ascii="仿宋_GB2312" w:hAnsi="仿宋_GB2312" w:cs="仿宋_GB2312"/>
          <w:bCs/>
          <w:szCs w:val="32"/>
        </w:rPr>
        <w:t>万元。</w:t>
      </w:r>
      <w:r>
        <w:rPr>
          <w:rFonts w:hint="eastAsia" w:ascii="仿宋_GB2312" w:hAnsi="仿宋_GB2312" w:cs="仿宋_GB2312"/>
          <w:color w:val="000000"/>
          <w:szCs w:val="32"/>
        </w:rPr>
        <w:t>对未完成粮食生产约束性任务的乡镇在年度乡村振兴战略实绩考核中不得定为优秀档次。</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（二）稳定播种面积</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3.</w:t>
      </w:r>
      <w:r>
        <w:rPr>
          <w:rFonts w:hint="eastAsia" w:ascii="仿宋_GB2312" w:hAnsi="仿宋_GB2312" w:cs="仿宋_GB2312"/>
          <w:b/>
          <w:color w:val="000000"/>
          <w:szCs w:val="32"/>
        </w:rPr>
        <w:t>推进撂荒地统筹利用。</w:t>
      </w:r>
      <w:r>
        <w:rPr>
          <w:rFonts w:hint="eastAsia" w:ascii="仿宋_GB2312" w:hAnsi="仿宋_GB2312" w:cs="仿宋_GB2312"/>
          <w:bCs/>
          <w:color w:val="000000"/>
          <w:szCs w:val="32"/>
        </w:rPr>
        <w:t>市一级，对承包</w:t>
      </w:r>
      <w:r>
        <w:rPr>
          <w:rFonts w:hint="eastAsia" w:ascii="仿宋_GB2312" w:hAnsi="仿宋_GB2312" w:cs="仿宋_GB2312"/>
          <w:color w:val="000000"/>
          <w:szCs w:val="32"/>
        </w:rPr>
        <w:t>抛（撂）荒山垅田连片或集中整治复耕规模</w:t>
      </w:r>
      <w:r>
        <w:rPr>
          <w:rFonts w:ascii="仿宋_GB2312" w:hAnsi="仿宋_GB2312" w:cs="仿宋_GB2312"/>
          <w:color w:val="000000"/>
          <w:szCs w:val="32"/>
        </w:rPr>
        <w:t>10</w:t>
      </w:r>
      <w:r>
        <w:rPr>
          <w:rFonts w:hint="eastAsia" w:ascii="仿宋_GB2312" w:hAnsi="仿宋_GB2312" w:cs="仿宋_GB2312"/>
          <w:color w:val="000000"/>
          <w:szCs w:val="32"/>
        </w:rPr>
        <w:t>亩以上、连续三年每年种植一季以上粮食作物的，第一年按复耕面积每亩奖励</w:t>
      </w:r>
      <w:r>
        <w:rPr>
          <w:rFonts w:ascii="仿宋_GB2312" w:hAnsi="仿宋_GB2312" w:cs="仿宋_GB2312"/>
          <w:color w:val="000000"/>
          <w:szCs w:val="32"/>
        </w:rPr>
        <w:t>1200</w:t>
      </w:r>
      <w:r>
        <w:rPr>
          <w:rFonts w:hint="eastAsia" w:ascii="仿宋_GB2312" w:hAnsi="仿宋_GB2312" w:cs="仿宋_GB2312"/>
          <w:color w:val="000000"/>
          <w:szCs w:val="32"/>
        </w:rPr>
        <w:t>元，第二年、第三年每年每亩奖补</w:t>
      </w:r>
      <w:r>
        <w:rPr>
          <w:rFonts w:ascii="仿宋_GB2312" w:hAnsi="仿宋_GB2312" w:cs="仿宋_GB2312"/>
          <w:color w:val="000000"/>
          <w:szCs w:val="32"/>
        </w:rPr>
        <w:t>300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分别对应叠加补助</w:t>
      </w:r>
      <w:r>
        <w:rPr>
          <w:rFonts w:ascii="仿宋_GB2312" w:hAnsi="仿宋_GB2312" w:cs="仿宋_GB2312"/>
          <w:bCs/>
          <w:color w:val="000000"/>
          <w:szCs w:val="32"/>
        </w:rPr>
        <w:t>300</w:t>
      </w:r>
      <w:r>
        <w:rPr>
          <w:rFonts w:hint="eastAsia" w:ascii="仿宋_GB2312" w:hAnsi="仿宋_GB2312" w:cs="仿宋_GB2312"/>
          <w:bCs/>
          <w:color w:val="000000"/>
          <w:szCs w:val="32"/>
        </w:rPr>
        <w:t>元、</w:t>
      </w:r>
      <w:r>
        <w:rPr>
          <w:rFonts w:ascii="仿宋_GB2312" w:hAnsi="仿宋_GB2312" w:cs="仿宋_GB2312"/>
          <w:color w:val="000000"/>
          <w:szCs w:val="32"/>
        </w:rPr>
        <w:t>200</w:t>
      </w:r>
      <w:r>
        <w:rPr>
          <w:rFonts w:hint="eastAsia" w:ascii="仿宋_GB2312" w:hAnsi="仿宋_GB2312" w:cs="仿宋_GB2312"/>
          <w:color w:val="000000"/>
          <w:szCs w:val="32"/>
        </w:rPr>
        <w:t>元、</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4.</w:t>
      </w:r>
      <w:r>
        <w:rPr>
          <w:rFonts w:hint="eastAsia" w:ascii="仿宋_GB2312" w:hAnsi="仿宋_GB2312" w:cs="仿宋_GB2312"/>
          <w:b/>
          <w:color w:val="000000"/>
          <w:szCs w:val="32"/>
        </w:rPr>
        <w:t>鼓励规模种植大豆。</w:t>
      </w:r>
      <w:r>
        <w:rPr>
          <w:rFonts w:hint="eastAsia" w:ascii="仿宋_GB2312" w:hAnsi="仿宋_GB2312" w:cs="仿宋_GB2312"/>
          <w:bCs/>
          <w:color w:val="000000"/>
          <w:szCs w:val="32"/>
        </w:rPr>
        <w:t>市一级，对规模</w:t>
      </w:r>
      <w:r>
        <w:rPr>
          <w:rFonts w:hint="eastAsia" w:ascii="仿宋_GB2312" w:hAnsi="仿宋_GB2312" w:cs="仿宋_GB2312"/>
          <w:color w:val="000000"/>
          <w:szCs w:val="32"/>
        </w:rPr>
        <w:t>种植大豆</w:t>
      </w:r>
      <w:r>
        <w:rPr>
          <w:rFonts w:ascii="仿宋_GB2312" w:hAnsi="仿宋_GB2312" w:cs="仿宋_GB2312"/>
          <w:color w:val="000000"/>
          <w:szCs w:val="32"/>
        </w:rPr>
        <w:t>20</w:t>
      </w:r>
      <w:r>
        <w:rPr>
          <w:rFonts w:hint="eastAsia" w:ascii="仿宋_GB2312" w:hAnsi="仿宋_GB2312" w:cs="仿宋_GB2312"/>
          <w:color w:val="000000"/>
          <w:szCs w:val="32"/>
        </w:rPr>
        <w:t>亩以上的农户或农业种植主体（不含股份经济合作社），符合高产高质高效创建要求的，每亩给予补助</w:t>
      </w:r>
      <w:r>
        <w:rPr>
          <w:rFonts w:ascii="仿宋_GB2312" w:hAnsi="仿宋_GB2312" w:cs="仿宋_GB2312"/>
          <w:color w:val="000000"/>
          <w:szCs w:val="32"/>
        </w:rPr>
        <w:t>300</w:t>
      </w:r>
      <w:r>
        <w:rPr>
          <w:rFonts w:hint="eastAsia" w:ascii="仿宋_GB2312" w:hAnsi="仿宋_GB2312" w:cs="仿宋_GB2312"/>
          <w:color w:val="000000"/>
          <w:szCs w:val="32"/>
        </w:rPr>
        <w:t>元。县一级，对应叠加补助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5.</w:t>
      </w:r>
      <w:r>
        <w:rPr>
          <w:rFonts w:hint="eastAsia" w:ascii="仿宋_GB2312" w:hAnsi="仿宋_GB2312" w:cs="仿宋_GB2312"/>
          <w:b/>
          <w:color w:val="000000"/>
          <w:szCs w:val="32"/>
        </w:rPr>
        <w:t>鼓励规模种植马铃薯。</w:t>
      </w:r>
      <w:r>
        <w:rPr>
          <w:rFonts w:hint="eastAsia" w:ascii="仿宋_GB2312" w:hAnsi="仿宋_GB2312" w:cs="仿宋_GB2312"/>
          <w:bCs/>
          <w:color w:val="000000"/>
          <w:szCs w:val="32"/>
        </w:rPr>
        <w:t>市一级，对连片种植马铃薯</w:t>
      </w:r>
      <w:r>
        <w:rPr>
          <w:rFonts w:ascii="仿宋_GB2312" w:hAnsi="仿宋_GB2312" w:cs="仿宋_GB2312"/>
          <w:bCs/>
          <w:color w:val="000000"/>
          <w:szCs w:val="32"/>
        </w:rPr>
        <w:t>20</w:t>
      </w:r>
      <w:r>
        <w:rPr>
          <w:rFonts w:hint="eastAsia" w:ascii="仿宋_GB2312" w:hAnsi="仿宋_GB2312" w:cs="仿宋_GB2312"/>
          <w:bCs/>
          <w:color w:val="000000"/>
          <w:szCs w:val="32"/>
        </w:rPr>
        <w:t>亩以上的农户或农业种植主体</w:t>
      </w:r>
      <w:r>
        <w:rPr>
          <w:rFonts w:hint="eastAsia" w:ascii="仿宋_GB2312" w:hAnsi="仿宋_GB2312" w:cs="仿宋_GB2312"/>
          <w:color w:val="000000"/>
          <w:szCs w:val="32"/>
        </w:rPr>
        <w:t>（不含股份经济合作社）</w:t>
      </w:r>
      <w:r>
        <w:rPr>
          <w:rFonts w:hint="eastAsia" w:ascii="仿宋_GB2312" w:hAnsi="仿宋_GB2312" w:cs="仿宋_GB2312"/>
          <w:bCs/>
          <w:color w:val="000000"/>
          <w:szCs w:val="32"/>
        </w:rPr>
        <w:t>，每亩给予</w:t>
      </w:r>
      <w:r>
        <w:rPr>
          <w:rFonts w:hint="eastAsia" w:ascii="仿宋_GB2312" w:hAnsi="仿宋_GB2312" w:cs="仿宋_GB2312"/>
          <w:color w:val="000000"/>
          <w:szCs w:val="32"/>
        </w:rPr>
        <w:t>补助</w:t>
      </w:r>
      <w:r>
        <w:rPr>
          <w:rFonts w:ascii="仿宋_GB2312" w:hAnsi="仿宋_GB2312" w:cs="仿宋_GB2312"/>
          <w:color w:val="000000"/>
          <w:szCs w:val="32"/>
        </w:rPr>
        <w:t>200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对应叠加</w:t>
      </w:r>
      <w:r>
        <w:rPr>
          <w:rFonts w:hint="eastAsia" w:ascii="仿宋_GB2312" w:hAnsi="仿宋_GB2312" w:cs="仿宋_GB2312"/>
          <w:color w:val="000000"/>
          <w:szCs w:val="32"/>
        </w:rPr>
        <w:t>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6.</w:t>
      </w:r>
      <w:r>
        <w:rPr>
          <w:rFonts w:hint="eastAsia" w:ascii="仿宋_GB2312" w:hAnsi="仿宋_GB2312" w:cs="仿宋_GB2312"/>
          <w:b/>
          <w:color w:val="000000"/>
          <w:szCs w:val="32"/>
        </w:rPr>
        <w:t>鼓励规模种植旱稻。</w:t>
      </w:r>
      <w:r>
        <w:rPr>
          <w:rFonts w:hint="eastAsia" w:ascii="仿宋_GB2312" w:hAnsi="仿宋_GB2312" w:cs="仿宋_GB2312"/>
          <w:bCs/>
          <w:color w:val="000000"/>
          <w:szCs w:val="32"/>
        </w:rPr>
        <w:t>市一级，对</w:t>
      </w:r>
      <w:r>
        <w:rPr>
          <w:rFonts w:hint="eastAsia" w:ascii="仿宋_GB2312" w:hAnsi="仿宋_GB2312" w:cs="仿宋_GB2312"/>
          <w:color w:val="000000"/>
          <w:szCs w:val="32"/>
        </w:rPr>
        <w:t>规模种植旱稻</w:t>
      </w:r>
      <w:r>
        <w:rPr>
          <w:rFonts w:ascii="仿宋_GB2312" w:hAnsi="仿宋_GB2312" w:cs="仿宋_GB2312"/>
          <w:color w:val="000000"/>
          <w:szCs w:val="32"/>
        </w:rPr>
        <w:t>20</w:t>
      </w:r>
      <w:r>
        <w:rPr>
          <w:rFonts w:hint="eastAsia" w:ascii="仿宋_GB2312" w:hAnsi="仿宋_GB2312" w:cs="仿宋_GB2312"/>
          <w:color w:val="000000"/>
          <w:szCs w:val="32"/>
        </w:rPr>
        <w:t>亩以上的农户或农业种植主体（不含股份经济合作社），每亩给予补助</w:t>
      </w:r>
      <w:r>
        <w:rPr>
          <w:rFonts w:ascii="仿宋_GB2312" w:hAnsi="仿宋_GB2312" w:cs="仿宋_GB2312"/>
          <w:color w:val="000000"/>
          <w:szCs w:val="32"/>
        </w:rPr>
        <w:t>200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对应</w:t>
      </w:r>
      <w:r>
        <w:rPr>
          <w:rFonts w:hint="eastAsia" w:ascii="仿宋_GB2312" w:hAnsi="仿宋_GB2312" w:cs="仿宋_GB2312"/>
          <w:color w:val="000000"/>
          <w:szCs w:val="32"/>
        </w:rPr>
        <w:t>叠加补助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bCs/>
          <w:color w:val="000000"/>
          <w:szCs w:val="32"/>
        </w:rPr>
        <w:t>7.</w:t>
      </w:r>
      <w:r>
        <w:rPr>
          <w:rFonts w:hint="eastAsia" w:ascii="仿宋_GB2312" w:hAnsi="仿宋_GB2312" w:cs="仿宋_GB2312"/>
          <w:b/>
          <w:bCs/>
          <w:color w:val="000000"/>
          <w:szCs w:val="32"/>
        </w:rPr>
        <w:t>鼓励规模种植水稻。</w:t>
      </w:r>
      <w:r>
        <w:rPr>
          <w:rFonts w:hint="eastAsia" w:ascii="仿宋_GB2312" w:hAnsi="仿宋_GB2312" w:cs="仿宋_GB2312"/>
          <w:color w:val="000000"/>
          <w:szCs w:val="32"/>
        </w:rPr>
        <w:t>县一级，对当年度种植水稻集中连片</w:t>
      </w:r>
      <w:r>
        <w:rPr>
          <w:rFonts w:ascii="仿宋_GB2312" w:hAnsi="仿宋_GB2312" w:cs="仿宋_GB2312"/>
          <w:color w:val="000000"/>
          <w:szCs w:val="32"/>
        </w:rPr>
        <w:t>50</w:t>
      </w:r>
      <w:r>
        <w:rPr>
          <w:rFonts w:hint="eastAsia" w:ascii="仿宋_GB2312" w:hAnsi="仿宋_GB2312" w:cs="仿宋_GB2312"/>
          <w:color w:val="000000"/>
          <w:szCs w:val="32"/>
        </w:rPr>
        <w:t>亩及以上的农户或农业种植主体（不含股份经济合作社）</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每亩奖励</w:t>
      </w:r>
      <w:r>
        <w:rPr>
          <w:rFonts w:ascii="仿宋_GB2312" w:hAnsi="仿宋_GB2312" w:cs="仿宋_GB2312"/>
          <w:color w:val="000000"/>
          <w:szCs w:val="32"/>
        </w:rPr>
        <w:t>300</w:t>
      </w:r>
      <w:r>
        <w:rPr>
          <w:rFonts w:hint="eastAsia" w:ascii="仿宋_GB2312" w:hAnsi="仿宋_GB2312" w:cs="仿宋_GB2312"/>
          <w:color w:val="000000"/>
          <w:szCs w:val="32"/>
        </w:rPr>
        <w:t>元。</w:t>
      </w:r>
    </w:p>
    <w:p>
      <w:pPr>
        <w:spacing w:line="580" w:lineRule="exact"/>
        <w:ind w:firstLine="643" w:firstLineChars="200"/>
      </w:pPr>
      <w:r>
        <w:rPr>
          <w:rFonts w:ascii="仿宋_GB2312" w:hAnsi="仿宋_GB2312" w:cs="仿宋_GB2312"/>
          <w:b/>
          <w:bCs/>
          <w:color w:val="000000"/>
          <w:szCs w:val="32"/>
        </w:rPr>
        <w:t>8.</w:t>
      </w:r>
      <w:r>
        <w:rPr>
          <w:rFonts w:hint="eastAsia" w:ascii="仿宋_GB2312" w:hAnsi="仿宋_GB2312" w:cs="仿宋_GB2312"/>
          <w:b/>
          <w:bCs/>
          <w:color w:val="000000"/>
          <w:szCs w:val="32"/>
        </w:rPr>
        <w:t>鼓励发展茶粮套种。</w:t>
      </w:r>
      <w:r>
        <w:rPr>
          <w:rFonts w:hint="eastAsia" w:ascii="仿宋_GB2312" w:hAnsi="仿宋_GB2312" w:cs="仿宋_GB2312"/>
          <w:szCs w:val="32"/>
        </w:rPr>
        <w:t>县一级，对茶园套种粮油作物连片</w:t>
      </w:r>
      <w:r>
        <w:rPr>
          <w:rFonts w:ascii="仿宋_GB2312" w:hAnsi="仿宋_GB2312" w:cs="仿宋_GB2312"/>
          <w:szCs w:val="32"/>
        </w:rPr>
        <w:t>50</w:t>
      </w:r>
      <w:r>
        <w:rPr>
          <w:rFonts w:hint="eastAsia" w:ascii="仿宋_GB2312" w:hAnsi="仿宋_GB2312" w:cs="仿宋_GB2312"/>
          <w:szCs w:val="32"/>
        </w:rPr>
        <w:t>亩以上，且单产达到规定要求，其中套种大豆的单产达到</w:t>
      </w:r>
      <w:r>
        <w:rPr>
          <w:rFonts w:ascii="仿宋_GB2312" w:hAnsi="仿宋_GB2312" w:cs="仿宋_GB2312"/>
          <w:szCs w:val="32"/>
        </w:rPr>
        <w:t>50</w:t>
      </w:r>
      <w:r>
        <w:rPr>
          <w:rFonts w:hint="eastAsia" w:ascii="仿宋_GB2312" w:hAnsi="仿宋_GB2312" w:cs="仿宋_GB2312"/>
          <w:szCs w:val="32"/>
        </w:rPr>
        <w:t>公斤（鲜重，下同），套种玉米的单产达到</w:t>
      </w:r>
      <w:r>
        <w:rPr>
          <w:rFonts w:ascii="仿宋_GB2312" w:hAnsi="仿宋_GB2312" w:cs="仿宋_GB2312"/>
          <w:szCs w:val="32"/>
        </w:rPr>
        <w:t>100</w:t>
      </w:r>
      <w:r>
        <w:rPr>
          <w:rFonts w:hint="eastAsia" w:ascii="仿宋_GB2312" w:hAnsi="仿宋_GB2312" w:cs="仿宋_GB2312"/>
          <w:szCs w:val="32"/>
        </w:rPr>
        <w:t>公斤，套种甘薯或者马铃薯的单产达到</w:t>
      </w:r>
      <w:r>
        <w:rPr>
          <w:rFonts w:ascii="仿宋_GB2312" w:hAnsi="仿宋_GB2312" w:cs="仿宋_GB2312"/>
          <w:szCs w:val="32"/>
        </w:rPr>
        <w:t>100</w:t>
      </w:r>
      <w:r>
        <w:rPr>
          <w:rFonts w:hint="eastAsia" w:ascii="仿宋_GB2312" w:hAnsi="仿宋_GB2312" w:cs="仿宋_GB2312"/>
          <w:szCs w:val="32"/>
        </w:rPr>
        <w:t>公斤，套种花生的单产达到</w:t>
      </w:r>
      <w:r>
        <w:rPr>
          <w:rFonts w:ascii="仿宋_GB2312" w:hAnsi="仿宋_GB2312" w:cs="仿宋_GB2312"/>
          <w:szCs w:val="32"/>
        </w:rPr>
        <w:t>100</w:t>
      </w:r>
      <w:r>
        <w:rPr>
          <w:rFonts w:hint="eastAsia" w:ascii="仿宋_GB2312" w:hAnsi="仿宋_GB2312" w:cs="仿宋_GB2312"/>
          <w:szCs w:val="32"/>
        </w:rPr>
        <w:t>公斤，套种油菜的单产达到</w:t>
      </w:r>
      <w:r>
        <w:rPr>
          <w:rFonts w:ascii="仿宋_GB2312" w:hAnsi="仿宋_GB2312" w:cs="仿宋_GB2312"/>
          <w:szCs w:val="32"/>
        </w:rPr>
        <w:t>50</w:t>
      </w:r>
      <w:r>
        <w:rPr>
          <w:rFonts w:hint="eastAsia" w:ascii="仿宋_GB2312" w:hAnsi="仿宋_GB2312" w:cs="仿宋_GB2312"/>
          <w:szCs w:val="32"/>
        </w:rPr>
        <w:t>公斤的</w:t>
      </w:r>
      <w:r>
        <w:rPr>
          <w:rFonts w:hint="eastAsia" w:ascii="仿宋_GB2312" w:hAnsi="仿宋_GB2312" w:cs="仿宋_GB2312"/>
          <w:color w:val="000000"/>
          <w:szCs w:val="32"/>
        </w:rPr>
        <w:t>农户或农业种植主体（不含股份经济合作社），</w:t>
      </w:r>
      <w:r>
        <w:rPr>
          <w:rFonts w:hint="eastAsia" w:ascii="仿宋_GB2312" w:hAnsi="仿宋_GB2312" w:cs="仿宋_GB2312"/>
          <w:szCs w:val="32"/>
        </w:rPr>
        <w:t>按照实际种植面积每亩补助</w:t>
      </w:r>
      <w:r>
        <w:rPr>
          <w:rFonts w:ascii="仿宋_GB2312" w:hAnsi="仿宋_GB2312" w:cs="仿宋_GB2312"/>
          <w:szCs w:val="32"/>
        </w:rPr>
        <w:t>300</w:t>
      </w:r>
      <w:r>
        <w:rPr>
          <w:rFonts w:hint="eastAsia" w:ascii="仿宋_GB2312" w:hAnsi="仿宋_GB2312" w:cs="仿宋_GB2312"/>
          <w:szCs w:val="32"/>
        </w:rPr>
        <w:t>元。</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（三）提升耕地质量</w:t>
      </w:r>
    </w:p>
    <w:p>
      <w:pPr>
        <w:spacing w:line="580" w:lineRule="exact"/>
        <w:ind w:firstLine="643" w:firstLineChars="200"/>
        <w:rPr>
          <w:rFonts w:ascii="仿宋_GB2312" w:cs="仿宋_GB2312"/>
          <w:szCs w:val="32"/>
          <w:u w:val="single"/>
        </w:rPr>
      </w:pPr>
      <w:r>
        <w:rPr>
          <w:rFonts w:ascii="仿宋_GB2312" w:hAnsi="仿宋_GB2312" w:cs="仿宋_GB2312"/>
          <w:b/>
          <w:color w:val="000000"/>
          <w:szCs w:val="32"/>
        </w:rPr>
        <w:t>9.</w:t>
      </w:r>
      <w:r>
        <w:rPr>
          <w:rFonts w:hint="eastAsia" w:ascii="仿宋_GB2312" w:hAnsi="仿宋_GB2312" w:cs="仿宋_GB2312"/>
          <w:b/>
          <w:color w:val="000000"/>
          <w:szCs w:val="32"/>
        </w:rPr>
        <w:t>建设高标准农田。</w:t>
      </w:r>
      <w:r>
        <w:rPr>
          <w:rFonts w:hint="eastAsia" w:ascii="仿宋_GB2312" w:hAnsi="仿宋_GB2312" w:cs="仿宋_GB2312"/>
          <w:color w:val="000000"/>
          <w:szCs w:val="32"/>
        </w:rPr>
        <w:t>加快高标准农田建设步伐，集中力量打造旱涝保收、稳产高产、绿色生态农田。新建、改造和提升高标准农田，在中央、省级财政资金补助的基础上，市、县财政按亩均</w:t>
      </w:r>
      <w:r>
        <w:rPr>
          <w:rFonts w:ascii="仿宋_GB2312" w:hAnsi="仿宋_GB2312" w:cs="仿宋_GB2312"/>
          <w:color w:val="000000"/>
          <w:szCs w:val="32"/>
        </w:rPr>
        <w:t>420</w:t>
      </w:r>
      <w:r>
        <w:rPr>
          <w:rFonts w:hint="eastAsia" w:ascii="仿宋_GB2312" w:hAnsi="仿宋_GB2312" w:cs="仿宋_GB2312"/>
          <w:color w:val="000000"/>
          <w:szCs w:val="32"/>
        </w:rPr>
        <w:t>元进行配套（其中市级财政承担</w:t>
      </w:r>
      <w:r>
        <w:rPr>
          <w:rFonts w:ascii="仿宋_GB2312" w:hAnsi="仿宋_GB2312" w:cs="仿宋_GB2312"/>
          <w:color w:val="000000"/>
          <w:szCs w:val="32"/>
        </w:rPr>
        <w:t>140</w:t>
      </w:r>
      <w:r>
        <w:rPr>
          <w:rFonts w:hint="eastAsia" w:ascii="仿宋_GB2312" w:hAnsi="仿宋_GB2312" w:cs="仿宋_GB2312"/>
          <w:color w:val="000000"/>
          <w:szCs w:val="32"/>
        </w:rPr>
        <w:t>元，县级</w:t>
      </w:r>
      <w:r>
        <w:rPr>
          <w:rFonts w:hint="eastAsia" w:ascii="仿宋_GB2312" w:hAnsi="仿宋_GB2312" w:cs="仿宋_GB2312"/>
          <w:szCs w:val="32"/>
        </w:rPr>
        <w:t>财政承担</w:t>
      </w:r>
      <w:r>
        <w:rPr>
          <w:rFonts w:ascii="仿宋_GB2312" w:hAnsi="仿宋_GB2312" w:cs="仿宋_GB2312"/>
          <w:szCs w:val="32"/>
        </w:rPr>
        <w:t>280</w:t>
      </w:r>
      <w:r>
        <w:rPr>
          <w:rFonts w:hint="eastAsia" w:ascii="仿宋_GB2312" w:hAnsi="仿宋_GB2312" w:cs="仿宋_GB2312"/>
          <w:szCs w:val="32"/>
        </w:rPr>
        <w:t>元）。对农业生态型乡镇、原扶贫开发重点乡镇开展农田连片整治行动，连片整治</w:t>
      </w:r>
      <w:r>
        <w:rPr>
          <w:rFonts w:ascii="仿宋_GB2312" w:hAnsi="仿宋_GB2312" w:cs="仿宋_GB2312"/>
          <w:szCs w:val="32"/>
        </w:rPr>
        <w:t>1000</w:t>
      </w:r>
      <w:r>
        <w:rPr>
          <w:rFonts w:hint="eastAsia" w:ascii="仿宋_GB2312" w:hAnsi="仿宋_GB2312" w:cs="仿宋_GB2312"/>
          <w:szCs w:val="32"/>
        </w:rPr>
        <w:t>亩以上（单片单个项目</w:t>
      </w:r>
      <w:r>
        <w:rPr>
          <w:rFonts w:ascii="仿宋_GB2312" w:hAnsi="仿宋_GB2312" w:cs="仿宋_GB2312"/>
          <w:szCs w:val="32"/>
        </w:rPr>
        <w:t>200</w:t>
      </w:r>
      <w:r>
        <w:rPr>
          <w:rFonts w:hint="eastAsia" w:ascii="仿宋_GB2312" w:hAnsi="仿宋_GB2312" w:cs="仿宋_GB2312"/>
          <w:szCs w:val="32"/>
        </w:rPr>
        <w:t>亩以上），按不超过项目新增投资额的</w:t>
      </w:r>
      <w:r>
        <w:rPr>
          <w:rFonts w:ascii="仿宋_GB2312" w:hAnsi="仿宋_GB2312" w:cs="仿宋_GB2312"/>
          <w:szCs w:val="32"/>
        </w:rPr>
        <w:t>80%</w:t>
      </w:r>
      <w:r>
        <w:rPr>
          <w:rFonts w:hint="eastAsia" w:ascii="仿宋_GB2312" w:hAnsi="仿宋_GB2312" w:cs="仿宋_GB2312"/>
          <w:szCs w:val="32"/>
        </w:rPr>
        <w:t>且每亩财政补助资金最高不超过</w:t>
      </w:r>
      <w:r>
        <w:rPr>
          <w:rFonts w:ascii="仿宋_GB2312" w:hAnsi="仿宋_GB2312" w:cs="仿宋_GB2312"/>
          <w:szCs w:val="32"/>
        </w:rPr>
        <w:t>4000</w:t>
      </w:r>
      <w:r>
        <w:rPr>
          <w:rFonts w:hint="eastAsia" w:ascii="仿宋_GB2312" w:hAnsi="仿宋_GB2312" w:cs="仿宋_GB2312"/>
          <w:szCs w:val="32"/>
        </w:rPr>
        <w:t>元进行补助；对非农业型连片整治项目给予一定资金奖补。县一级，按照县域农地提升及规模化经营项目有关申报要求给予奖补。</w:t>
      </w:r>
    </w:p>
    <w:p>
      <w:pPr>
        <w:spacing w:line="580" w:lineRule="exact"/>
        <w:ind w:firstLine="643" w:firstLineChars="200"/>
        <w:rPr>
          <w:rFonts w:ascii="仿宋_GB2312" w:cs="仿宋_GB2312"/>
          <w:color w:val="000000"/>
          <w:szCs w:val="32"/>
          <w:u w:val="single"/>
        </w:rPr>
      </w:pPr>
      <w:r>
        <w:rPr>
          <w:rFonts w:ascii="仿宋_GB2312" w:hAnsi="仿宋_GB2312" w:cs="仿宋_GB2312"/>
          <w:b/>
          <w:color w:val="000000"/>
          <w:szCs w:val="32"/>
        </w:rPr>
        <w:t>10.</w:t>
      </w:r>
      <w:r>
        <w:rPr>
          <w:rFonts w:hint="eastAsia" w:ascii="仿宋_GB2312" w:hAnsi="仿宋_GB2312" w:cs="仿宋_GB2312"/>
          <w:b/>
          <w:color w:val="000000"/>
          <w:szCs w:val="32"/>
        </w:rPr>
        <w:t>提升耕地地力。</w:t>
      </w:r>
      <w:r>
        <w:rPr>
          <w:rFonts w:hint="eastAsia" w:ascii="仿宋_GB2312" w:hAnsi="仿宋_GB2312" w:cs="仿宋_GB2312"/>
          <w:color w:val="000000"/>
          <w:szCs w:val="32"/>
        </w:rPr>
        <w:t>结合省级地力提升工程和市级耕地质量保护与提升项目，重点推广秸秆还田、增施有机肥和绿肥种植等培肥改土技术应用。对建立百亩以上配方施肥和商品有机肥示范片，每亩给予不超过</w:t>
      </w:r>
      <w:r>
        <w:rPr>
          <w:rFonts w:ascii="仿宋_GB2312" w:hAnsi="仿宋_GB2312" w:cs="仿宋_GB2312"/>
          <w:color w:val="000000"/>
          <w:szCs w:val="32"/>
        </w:rPr>
        <w:t>400</w:t>
      </w:r>
      <w:r>
        <w:rPr>
          <w:rFonts w:hint="eastAsia" w:ascii="仿宋_GB2312" w:hAnsi="仿宋_GB2312" w:cs="仿宋_GB2312"/>
          <w:color w:val="000000"/>
          <w:szCs w:val="32"/>
        </w:rPr>
        <w:t>元补助；对建立百亩以上秸秆还田和绿肥种植等示范片，每亩给予不超过</w:t>
      </w:r>
      <w:r>
        <w:rPr>
          <w:rFonts w:ascii="仿宋_GB2312" w:hAnsi="仿宋_GB2312" w:cs="仿宋_GB2312"/>
          <w:color w:val="000000"/>
          <w:szCs w:val="32"/>
        </w:rPr>
        <w:t>100</w:t>
      </w:r>
      <w:r>
        <w:rPr>
          <w:rFonts w:hint="eastAsia" w:ascii="仿宋_GB2312" w:hAnsi="仿宋_GB2312" w:cs="仿宋_GB2312"/>
          <w:color w:val="000000"/>
          <w:szCs w:val="32"/>
        </w:rPr>
        <w:t>元补助。县一级，将符合市级上述补助要求的优先纳入县级粮食生产示范村给予支持。</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（四）提高种植水平</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11.</w:t>
      </w:r>
      <w:r>
        <w:rPr>
          <w:rFonts w:hint="eastAsia" w:ascii="仿宋_GB2312" w:hAnsi="仿宋_GB2312" w:cs="仿宋_GB2312"/>
          <w:b/>
          <w:color w:val="000000"/>
          <w:szCs w:val="32"/>
        </w:rPr>
        <w:t>示范推广粮油作物“五新”技术。</w:t>
      </w:r>
      <w:r>
        <w:rPr>
          <w:rFonts w:hint="eastAsia" w:ascii="仿宋_GB2312" w:hAnsi="仿宋_GB2312" w:cs="仿宋_GB2312"/>
          <w:color w:val="000000"/>
          <w:szCs w:val="32"/>
        </w:rPr>
        <w:t>开展水稻、甘薯、玉米等粮食作物高产创建，市一级，对建立百亩以上粮食作物“五新”推广示范片，每个示范片给予补助</w:t>
      </w:r>
      <w:r>
        <w:rPr>
          <w:rFonts w:ascii="仿宋_GB2312" w:hAnsi="仿宋_GB2312" w:cs="仿宋_GB2312"/>
          <w:color w:val="000000"/>
          <w:szCs w:val="32"/>
        </w:rPr>
        <w:t>3</w:t>
      </w:r>
      <w:r>
        <w:rPr>
          <w:rFonts w:hint="eastAsia" w:ascii="仿宋_GB2312" w:hAnsi="仿宋_GB2312" w:cs="仿宋_GB2312"/>
          <w:color w:val="000000"/>
          <w:szCs w:val="32"/>
        </w:rPr>
        <w:t>万元。县一级，对应叠加补助</w:t>
      </w:r>
      <w:r>
        <w:rPr>
          <w:rFonts w:ascii="仿宋_GB2312" w:hAnsi="仿宋_GB2312" w:cs="仿宋_GB2312"/>
          <w:color w:val="000000"/>
          <w:szCs w:val="32"/>
        </w:rPr>
        <w:t>2</w:t>
      </w:r>
      <w:r>
        <w:rPr>
          <w:rFonts w:hint="eastAsia" w:ascii="仿宋_GB2312" w:hAnsi="仿宋_GB2312" w:cs="仿宋_GB2312"/>
          <w:color w:val="000000"/>
          <w:szCs w:val="32"/>
        </w:rPr>
        <w:t>万元。</w:t>
      </w:r>
    </w:p>
    <w:p>
      <w:pPr>
        <w:spacing w:line="580" w:lineRule="exact"/>
        <w:ind w:firstLine="643" w:firstLineChars="200"/>
        <w:rPr>
          <w:rFonts w:ascii="仿宋_GB2312" w:cs="仿宋_GB2312"/>
          <w:color w:val="000000"/>
          <w:spacing w:val="-6"/>
          <w:sz w:val="32"/>
          <w:szCs w:val="32"/>
        </w:rPr>
      </w:pPr>
      <w:r>
        <w:rPr>
          <w:rFonts w:ascii="仿宋_GB2312" w:hAnsi="仿宋_GB2312" w:cs="仿宋_GB2312"/>
          <w:b/>
          <w:color w:val="000000"/>
          <w:szCs w:val="32"/>
        </w:rPr>
        <w:t>12.</w:t>
      </w:r>
      <w:r>
        <w:rPr>
          <w:rFonts w:hint="eastAsia" w:ascii="仿宋_GB2312" w:hAnsi="仿宋_GB2312" w:cs="仿宋_GB2312"/>
          <w:b/>
          <w:color w:val="000000"/>
          <w:szCs w:val="32"/>
        </w:rPr>
        <w:t>展示示范粮食作物新品种。</w:t>
      </w:r>
      <w:r>
        <w:rPr>
          <w:rFonts w:hint="eastAsia" w:ascii="仿宋_GB2312" w:hAnsi="仿宋_GB2312" w:cs="仿宋_GB2312"/>
          <w:bCs/>
          <w:color w:val="000000"/>
          <w:szCs w:val="32"/>
        </w:rPr>
        <w:t>市一级，以高产</w:t>
      </w:r>
      <w:r>
        <w:rPr>
          <w:rFonts w:hint="eastAsia" w:ascii="仿宋_GB2312" w:hAnsi="仿宋_GB2312" w:cs="仿宋_GB2312"/>
          <w:color w:val="000000"/>
          <w:szCs w:val="32"/>
        </w:rPr>
        <w:t>、优质、绿色新品种为重点，建立水稻</w:t>
      </w:r>
      <w:r>
        <w:rPr>
          <w:rFonts w:hint="eastAsia" w:ascii="仿宋" w:hAnsi="仿宋" w:eastAsia="仿宋" w:cs="仿宋"/>
          <w:color w:val="000000"/>
          <w:szCs w:val="32"/>
        </w:rPr>
        <w:t>、甘薯、马铃薯、玉米、大豆、花生</w:t>
      </w:r>
      <w:r>
        <w:rPr>
          <w:rFonts w:hint="eastAsia" w:ascii="仿宋_GB2312" w:hAnsi="仿宋_GB2312" w:cs="仿宋_GB2312"/>
          <w:color w:val="000000"/>
          <w:szCs w:val="32"/>
        </w:rPr>
        <w:t>等新品种百亩以上展示示范片，每个示范片给予补助</w:t>
      </w:r>
      <w:r>
        <w:rPr>
          <w:rFonts w:ascii="仿宋_GB2312" w:hAnsi="仿宋_GB2312" w:cs="仿宋_GB2312"/>
          <w:color w:val="000000"/>
          <w:szCs w:val="32"/>
        </w:rPr>
        <w:t>3</w:t>
      </w:r>
      <w:r>
        <w:rPr>
          <w:rFonts w:hint="eastAsia" w:ascii="仿宋_GB2312" w:hAnsi="仿宋_GB2312" w:cs="仿宋_GB2312"/>
          <w:color w:val="000000"/>
          <w:szCs w:val="32"/>
        </w:rPr>
        <w:t>万元。县一级，</w:t>
      </w:r>
      <w:r>
        <w:rPr>
          <w:rFonts w:hint="eastAsia" w:ascii="仿宋_GB2312" w:hAnsi="仿宋_GB2312" w:cs="仿宋_GB2312"/>
          <w:color w:val="000000"/>
          <w:spacing w:val="-6"/>
          <w:sz w:val="32"/>
          <w:szCs w:val="32"/>
        </w:rPr>
        <w:t>开展</w:t>
      </w:r>
      <w:r>
        <w:rPr>
          <w:rFonts w:hint="eastAsia" w:ascii="仿宋_GB2312" w:hAnsi="仿宋_GB2312" w:cs="仿宋_GB2312"/>
          <w:spacing w:val="-6"/>
          <w:sz w:val="32"/>
          <w:szCs w:val="32"/>
        </w:rPr>
        <w:t>优质农作物新品种对比试验，每个试验点补助</w:t>
      </w:r>
      <w:r>
        <w:rPr>
          <w:rFonts w:ascii="仿宋_GB2312" w:hAnsi="仿宋_GB2312" w:cs="仿宋_GB2312"/>
          <w:spacing w:val="-6"/>
          <w:sz w:val="32"/>
          <w:szCs w:val="32"/>
        </w:rPr>
        <w:t>0.5</w:t>
      </w:r>
      <w:r>
        <w:rPr>
          <w:rFonts w:hint="eastAsia" w:ascii="仿宋_GB2312" w:hAnsi="仿宋_GB2312" w:cs="仿宋_GB2312"/>
          <w:spacing w:val="-6"/>
          <w:sz w:val="32"/>
          <w:szCs w:val="32"/>
        </w:rPr>
        <w:t>万元。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13.</w:t>
      </w:r>
      <w:r>
        <w:rPr>
          <w:rFonts w:hint="eastAsia" w:ascii="仿宋_GB2312" w:hAnsi="仿宋_GB2312" w:cs="仿宋_GB2312"/>
          <w:b/>
          <w:color w:val="000000"/>
          <w:szCs w:val="32"/>
        </w:rPr>
        <w:t>建设粮食作物生产全程机械化示范点。</w:t>
      </w:r>
      <w:r>
        <w:rPr>
          <w:rFonts w:hint="eastAsia" w:ascii="仿宋_GB2312" w:hAnsi="仿宋_GB2312" w:cs="仿宋_GB2312"/>
          <w:bCs/>
          <w:color w:val="000000"/>
          <w:szCs w:val="32"/>
        </w:rPr>
        <w:t>市一级，</w:t>
      </w:r>
      <w:r>
        <w:rPr>
          <w:rFonts w:hint="eastAsia" w:ascii="仿宋_GB2312" w:hAnsi="仿宋_GB2312" w:cs="仿宋_GB2312"/>
          <w:color w:val="000000"/>
          <w:szCs w:val="32"/>
        </w:rPr>
        <w:t>对具备水稻、马铃薯、甘薯等主要粮食作物生产全程机械化能力，开展生产全程机械化作业，种植面积达到要求的（水稻种植面积</w:t>
      </w:r>
      <w:r>
        <w:rPr>
          <w:rFonts w:ascii="仿宋_GB2312" w:hAnsi="仿宋_GB2312" w:cs="仿宋_GB2312"/>
          <w:color w:val="000000"/>
          <w:szCs w:val="32"/>
        </w:rPr>
        <w:t>500</w:t>
      </w:r>
      <w:r>
        <w:rPr>
          <w:rFonts w:hint="eastAsia" w:ascii="仿宋_GB2312" w:hAnsi="仿宋_GB2312" w:cs="仿宋_GB2312"/>
          <w:color w:val="000000"/>
          <w:szCs w:val="32"/>
        </w:rPr>
        <w:t>亩以上，马铃薯、甘薯面积</w:t>
      </w:r>
      <w:r>
        <w:rPr>
          <w:rFonts w:ascii="仿宋_GB2312" w:hAnsi="仿宋_GB2312" w:cs="仿宋_GB2312"/>
          <w:color w:val="000000"/>
          <w:szCs w:val="32"/>
        </w:rPr>
        <w:t>100</w:t>
      </w:r>
      <w:r>
        <w:rPr>
          <w:rFonts w:hint="eastAsia" w:ascii="仿宋_GB2312" w:hAnsi="仿宋_GB2312" w:cs="仿宋_GB2312"/>
          <w:color w:val="000000"/>
          <w:szCs w:val="32"/>
        </w:rPr>
        <w:t>亩以上），可申报主要农作物生产全程机械化示范点建设项目，最高按新增投入</w:t>
      </w:r>
      <w:r>
        <w:rPr>
          <w:rFonts w:ascii="仿宋_GB2312" w:hAnsi="仿宋_GB2312" w:cs="仿宋_GB2312"/>
          <w:color w:val="000000"/>
          <w:szCs w:val="32"/>
        </w:rPr>
        <w:t>50%</w:t>
      </w:r>
      <w:r>
        <w:rPr>
          <w:rFonts w:hint="eastAsia" w:ascii="仿宋_GB2312" w:hAnsi="仿宋_GB2312" w:cs="仿宋_GB2312"/>
          <w:color w:val="000000"/>
          <w:szCs w:val="32"/>
        </w:rPr>
        <w:t>的比例进行补助，每个示范点最高补助</w:t>
      </w:r>
      <w:r>
        <w:rPr>
          <w:rFonts w:ascii="仿宋_GB2312" w:hAnsi="仿宋_GB2312" w:cs="仿宋_GB2312"/>
          <w:color w:val="000000"/>
          <w:szCs w:val="32"/>
        </w:rPr>
        <w:t>5</w:t>
      </w:r>
      <w:r>
        <w:rPr>
          <w:rFonts w:hint="eastAsia" w:ascii="仿宋_GB2312" w:hAnsi="仿宋_GB2312" w:cs="仿宋_GB2312"/>
          <w:color w:val="000000"/>
          <w:szCs w:val="32"/>
        </w:rPr>
        <w:t>万元。县一级，将符合市级上述补助要求的优先纳入县级粮食生产示范村给予支持。</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（五）培育农业主体</w:t>
      </w:r>
    </w:p>
    <w:p>
      <w:pPr>
        <w:spacing w:line="580" w:lineRule="exact"/>
        <w:ind w:firstLine="643" w:firstLineChars="200"/>
        <w:rPr>
          <w:rFonts w:ascii="仿宋_GB2312" w:cs="仿宋_GB2312"/>
          <w:kern w:val="0"/>
        </w:rPr>
      </w:pPr>
      <w:r>
        <w:rPr>
          <w:rFonts w:ascii="仿宋_GB2312" w:hAnsi="仿宋_GB2312" w:cs="仿宋_GB2312"/>
          <w:b/>
          <w:color w:val="000000"/>
          <w:szCs w:val="32"/>
        </w:rPr>
        <w:t>14.</w:t>
      </w:r>
      <w:r>
        <w:rPr>
          <w:rFonts w:hint="eastAsia" w:ascii="仿宋_GB2312" w:hAnsi="仿宋_GB2312" w:cs="仿宋_GB2312"/>
          <w:b/>
          <w:color w:val="000000"/>
          <w:szCs w:val="32"/>
        </w:rPr>
        <w:t>培育新型经营主体。</w:t>
      </w:r>
      <w:r>
        <w:rPr>
          <w:rFonts w:hint="eastAsia" w:ascii="仿宋_GB2312" w:hAnsi="仿宋_GB2312" w:cs="仿宋_GB2312"/>
          <w:bCs/>
          <w:color w:val="000000"/>
          <w:szCs w:val="32"/>
        </w:rPr>
        <w:t>市一级，对入选</w:t>
      </w:r>
      <w:r>
        <w:rPr>
          <w:rFonts w:hint="eastAsia" w:ascii="仿宋_GB2312" w:hAnsi="仿宋_GB2312" w:cs="仿宋_GB2312"/>
          <w:color w:val="000000"/>
          <w:szCs w:val="32"/>
        </w:rPr>
        <w:t>市级农民合作社示范社和市级家庭农场示范场的经营主体，每家给予奖励</w:t>
      </w:r>
      <w:r>
        <w:rPr>
          <w:rFonts w:ascii="仿宋_GB2312" w:hAnsi="仿宋_GB2312" w:cs="仿宋_GB2312"/>
          <w:color w:val="000000"/>
          <w:szCs w:val="32"/>
        </w:rPr>
        <w:t>3</w:t>
      </w:r>
      <w:r>
        <w:rPr>
          <w:rFonts w:hint="eastAsia" w:ascii="仿宋_GB2312" w:hAnsi="仿宋_GB2312" w:cs="仿宋_GB2312"/>
          <w:color w:val="000000"/>
          <w:szCs w:val="32"/>
        </w:rPr>
        <w:t>万元，在推荐申报和评审中，向粮食类农业主体倾斜。县一级，</w:t>
      </w:r>
      <w:r>
        <w:rPr>
          <w:rFonts w:hint="eastAsia" w:ascii="仿宋_GB2312" w:hAnsi="仿宋_GB2312" w:cs="仿宋_GB2312"/>
          <w:kern w:val="0"/>
        </w:rPr>
        <w:t>积极培育粮食类新型经营主体，对达到规范化建设要求的粮油类生产经营主体，每家奖励</w:t>
      </w:r>
      <w:r>
        <w:rPr>
          <w:rFonts w:ascii="仿宋_GB2312" w:hAnsi="仿宋_GB2312" w:cs="仿宋_GB2312"/>
          <w:kern w:val="0"/>
        </w:rPr>
        <w:t>1</w:t>
      </w:r>
      <w:r>
        <w:rPr>
          <w:rFonts w:hint="eastAsia" w:ascii="仿宋_GB2312" w:hAnsi="仿宋_GB2312" w:cs="仿宋_GB2312"/>
          <w:kern w:val="0"/>
        </w:rPr>
        <w:t>万元。</w:t>
      </w:r>
    </w:p>
    <w:p>
      <w:pPr>
        <w:spacing w:line="580" w:lineRule="exact"/>
        <w:ind w:firstLine="643" w:firstLineChars="200"/>
        <w:rPr>
          <w:rFonts w:ascii="仿宋_GB2312" w:cs="仿宋_GB2312"/>
          <w:szCs w:val="32"/>
        </w:rPr>
      </w:pPr>
      <w:r>
        <w:rPr>
          <w:rFonts w:ascii="仿宋_GB2312" w:hAnsi="仿宋_GB2312" w:cs="仿宋_GB2312"/>
          <w:b/>
          <w:color w:val="000000"/>
          <w:szCs w:val="32"/>
        </w:rPr>
        <w:t>15.</w:t>
      </w:r>
      <w:r>
        <w:rPr>
          <w:rFonts w:hint="eastAsia" w:ascii="仿宋_GB2312" w:hAnsi="仿宋_GB2312" w:cs="仿宋_GB2312"/>
          <w:b/>
          <w:color w:val="000000"/>
          <w:szCs w:val="32"/>
        </w:rPr>
        <w:t>扶持粮食生产主体。</w:t>
      </w:r>
      <w:r>
        <w:rPr>
          <w:rFonts w:hint="eastAsia" w:ascii="仿宋_GB2312" w:hAnsi="仿宋_GB2312" w:cs="仿宋_GB2312"/>
          <w:bCs/>
          <w:color w:val="000000"/>
          <w:szCs w:val="32"/>
        </w:rPr>
        <w:t>市一级，对完成土地流转、连片种植粮食作物面积</w:t>
      </w:r>
      <w:r>
        <w:rPr>
          <w:rFonts w:ascii="仿宋_GB2312" w:hAnsi="仿宋_GB2312" w:cs="仿宋_GB2312"/>
          <w:bCs/>
          <w:color w:val="000000"/>
          <w:szCs w:val="32"/>
        </w:rPr>
        <w:t>30</w:t>
      </w:r>
      <w:r>
        <w:rPr>
          <w:rFonts w:hint="eastAsia" w:ascii="仿宋_GB2312" w:hAnsi="仿宋_GB2312" w:cs="仿宋_GB2312"/>
          <w:bCs/>
          <w:color w:val="000000"/>
          <w:szCs w:val="32"/>
        </w:rPr>
        <w:t>亩以上的农业经营</w:t>
      </w:r>
      <w:r>
        <w:rPr>
          <w:rFonts w:hint="eastAsia" w:ascii="仿宋_GB2312" w:hAnsi="仿宋_GB2312" w:cs="仿宋_GB2312"/>
          <w:color w:val="000000"/>
          <w:szCs w:val="32"/>
        </w:rPr>
        <w:t>主体，用于农业基础设施建设、农产品生产加工仓储冷链等设施（设备）建设、农产品收购、农机购置、农资购买、种苗种子购买等用途的银行贷款最高给予已付利息</w:t>
      </w:r>
      <w:r>
        <w:rPr>
          <w:rFonts w:ascii="仿宋_GB2312" w:hAnsi="仿宋_GB2312" w:cs="仿宋_GB2312"/>
          <w:color w:val="000000"/>
          <w:szCs w:val="32"/>
        </w:rPr>
        <w:t>70%</w:t>
      </w:r>
      <w:r>
        <w:rPr>
          <w:rFonts w:hint="eastAsia" w:ascii="仿宋_GB2312" w:hAnsi="仿宋_GB2312" w:cs="仿宋_GB2312"/>
          <w:color w:val="000000"/>
          <w:szCs w:val="32"/>
        </w:rPr>
        <w:t>的贴息补助，单家经营主体最高贴息额度</w:t>
      </w:r>
      <w:r>
        <w:rPr>
          <w:rFonts w:ascii="仿宋_GB2312" w:hAnsi="仿宋_GB2312" w:cs="仿宋_GB2312"/>
          <w:color w:val="000000"/>
          <w:szCs w:val="32"/>
        </w:rPr>
        <w:t>15</w:t>
      </w:r>
      <w:r>
        <w:rPr>
          <w:rFonts w:hint="eastAsia" w:ascii="仿宋_GB2312" w:hAnsi="仿宋_GB2312" w:cs="仿宋_GB2312"/>
          <w:color w:val="000000"/>
          <w:szCs w:val="32"/>
        </w:rPr>
        <w:t>万元。县一级，鼓励</w:t>
      </w:r>
      <w:r>
        <w:rPr>
          <w:rFonts w:hint="eastAsia" w:ascii="仿宋_GB2312" w:hAnsi="仿宋_GB2312" w:cs="仿宋_GB2312"/>
          <w:kern w:val="0"/>
        </w:rPr>
        <w:t>开展整村推进土地经营权“预流转”试点工作，对已与农户签订《农村土地经营权预流转协议书》，完成土地经营权连片“预流转”</w:t>
      </w:r>
      <w:r>
        <w:rPr>
          <w:rFonts w:ascii="仿宋_GB2312" w:hAnsi="仿宋_GB2312" w:cs="仿宋_GB2312"/>
          <w:kern w:val="0"/>
        </w:rPr>
        <w:t>100</w:t>
      </w:r>
      <w:r>
        <w:rPr>
          <w:rFonts w:hint="eastAsia" w:ascii="仿宋_GB2312" w:hAnsi="仿宋_GB2312" w:cs="仿宋_GB2312"/>
          <w:kern w:val="0"/>
        </w:rPr>
        <w:t>亩以上，且全部种植粮油作物的，每亩奖补村股份经济合作社</w:t>
      </w:r>
      <w:r>
        <w:rPr>
          <w:rFonts w:ascii="仿宋_GB2312" w:hAnsi="仿宋_GB2312" w:cs="仿宋_GB2312"/>
          <w:kern w:val="0"/>
        </w:rPr>
        <w:t>300</w:t>
      </w:r>
      <w:r>
        <w:rPr>
          <w:rFonts w:hint="eastAsia" w:ascii="仿宋_GB2312" w:hAnsi="仿宋_GB2312" w:cs="仿宋_GB2312"/>
          <w:kern w:val="0"/>
        </w:rPr>
        <w:t>元。</w:t>
      </w:r>
    </w:p>
    <w:p>
      <w:pPr>
        <w:spacing w:line="580" w:lineRule="exact"/>
        <w:ind w:firstLine="643" w:firstLineChars="200"/>
        <w:rPr>
          <w:rFonts w:ascii="楷体_GB2312" w:hAnsi="楷体" w:eastAsia="楷体_GB2312" w:cs="仿宋"/>
          <w:b/>
          <w:snapToGrid w:val="0"/>
          <w:color w:val="000000"/>
          <w:kern w:val="28"/>
          <w:szCs w:val="32"/>
        </w:rPr>
      </w:pPr>
      <w:r>
        <w:rPr>
          <w:rFonts w:ascii="楷体_GB2312" w:hAnsi="楷体" w:eastAsia="楷体_GB2312" w:cs="仿宋"/>
          <w:b/>
          <w:snapToGrid w:val="0"/>
          <w:color w:val="000000"/>
          <w:kern w:val="28"/>
          <w:szCs w:val="32"/>
        </w:rPr>
        <w:t>(</w:t>
      </w:r>
      <w:r>
        <w:rPr>
          <w:rFonts w:hint="eastAsia" w:ascii="楷体_GB2312" w:hAnsi="楷体" w:eastAsia="楷体_GB2312" w:cs="仿宋"/>
          <w:b/>
          <w:snapToGrid w:val="0"/>
          <w:color w:val="000000"/>
          <w:kern w:val="28"/>
          <w:szCs w:val="32"/>
        </w:rPr>
        <w:t>六）提高抗风险能力</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16.</w:t>
      </w:r>
      <w:r>
        <w:rPr>
          <w:rFonts w:hint="eastAsia" w:ascii="仿宋_GB2312" w:hAnsi="仿宋_GB2312" w:cs="仿宋_GB2312"/>
          <w:b/>
          <w:color w:val="000000"/>
          <w:szCs w:val="32"/>
        </w:rPr>
        <w:t>开展农业种植保险。</w:t>
      </w:r>
      <w:r>
        <w:rPr>
          <w:rFonts w:hint="eastAsia" w:ascii="仿宋_GB2312" w:hAnsi="仿宋_GB2312" w:cs="仿宋_GB2312"/>
          <w:color w:val="000000"/>
          <w:szCs w:val="32"/>
        </w:rPr>
        <w:t>开展水稻、马铃薯种植保险，其中水稻每亩保额为</w:t>
      </w:r>
      <w:r>
        <w:rPr>
          <w:rFonts w:ascii="仿宋_GB2312" w:hAnsi="仿宋_GB2312" w:cs="仿宋_GB2312"/>
          <w:color w:val="000000"/>
          <w:szCs w:val="32"/>
        </w:rPr>
        <w:t>500</w:t>
      </w:r>
      <w:r>
        <w:rPr>
          <w:rFonts w:hint="eastAsia" w:ascii="仿宋_GB2312" w:hAnsi="仿宋_GB2312" w:cs="仿宋_GB2312"/>
          <w:color w:val="000000"/>
          <w:szCs w:val="32"/>
        </w:rPr>
        <w:t>元，马铃薯每亩保额为</w:t>
      </w:r>
      <w:r>
        <w:rPr>
          <w:rFonts w:ascii="仿宋_GB2312" w:hAnsi="仿宋_GB2312" w:cs="仿宋_GB2312"/>
          <w:color w:val="000000"/>
          <w:szCs w:val="32"/>
        </w:rPr>
        <w:t>1000</w:t>
      </w:r>
      <w:r>
        <w:rPr>
          <w:rFonts w:hint="eastAsia" w:ascii="仿宋_GB2312" w:hAnsi="仿宋_GB2312" w:cs="仿宋_GB2312"/>
          <w:color w:val="000000"/>
          <w:szCs w:val="32"/>
        </w:rPr>
        <w:t>元。开展水稻叠加保险，在全省水稻种植保险的基础上，市一级每亩增加保额</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17.</w:t>
      </w:r>
      <w:r>
        <w:rPr>
          <w:rFonts w:hint="eastAsia" w:ascii="仿宋_GB2312" w:hAnsi="仿宋_GB2312" w:cs="仿宋_GB2312"/>
          <w:b/>
          <w:color w:val="000000"/>
          <w:szCs w:val="32"/>
        </w:rPr>
        <w:t>开展农业巨灾天气指数保险。</w:t>
      </w:r>
      <w:r>
        <w:rPr>
          <w:rFonts w:hint="eastAsia" w:ascii="仿宋_GB2312" w:hAnsi="仿宋_GB2312" w:cs="仿宋_GB2312"/>
          <w:color w:val="000000"/>
          <w:szCs w:val="32"/>
        </w:rPr>
        <w:t>开展台风、寒潮等农业巨灾天气指数保险，年度保额</w:t>
      </w:r>
      <w:r>
        <w:rPr>
          <w:rFonts w:ascii="仿宋_GB2312" w:hAnsi="仿宋_GB2312" w:cs="仿宋_GB2312"/>
          <w:color w:val="000000"/>
          <w:szCs w:val="32"/>
        </w:rPr>
        <w:t>1500</w:t>
      </w:r>
      <w:r>
        <w:rPr>
          <w:rFonts w:hint="eastAsia" w:ascii="仿宋_GB2312" w:hAnsi="仿宋_GB2312" w:cs="仿宋_GB2312"/>
          <w:color w:val="000000"/>
          <w:szCs w:val="32"/>
        </w:rPr>
        <w:t>万元，发生保险事故时优先赔付种粮农户损失。</w:t>
      </w:r>
    </w:p>
    <w:p>
      <w:pPr>
        <w:spacing w:line="580" w:lineRule="exact"/>
        <w:ind w:firstLine="643" w:firstLineChars="200"/>
        <w:rPr>
          <w:rFonts w:ascii="仿宋_GB2312" w:cs="仿宋_GB2312"/>
          <w:color w:val="000000"/>
          <w:szCs w:val="32"/>
          <w:u w:val="single"/>
        </w:rPr>
      </w:pPr>
      <w:r>
        <w:rPr>
          <w:rFonts w:ascii="仿宋_GB2312" w:hAnsi="仿宋_GB2312" w:cs="仿宋_GB2312"/>
          <w:b/>
          <w:color w:val="000000"/>
          <w:szCs w:val="32"/>
        </w:rPr>
        <w:t>18.</w:t>
      </w:r>
      <w:r>
        <w:rPr>
          <w:rFonts w:hint="eastAsia" w:ascii="仿宋_GB2312" w:hAnsi="仿宋_GB2312" w:cs="仿宋_GB2312"/>
          <w:b/>
          <w:color w:val="000000"/>
          <w:szCs w:val="32"/>
        </w:rPr>
        <w:t>开展统防统治服务。</w:t>
      </w:r>
      <w:r>
        <w:rPr>
          <w:rFonts w:hint="eastAsia" w:ascii="仿宋_GB2312" w:hAnsi="仿宋_GB2312" w:cs="仿宋_GB2312"/>
          <w:bCs/>
          <w:color w:val="000000"/>
          <w:szCs w:val="32"/>
        </w:rPr>
        <w:t>市一级培育发展以粮食作物为重点的农作物病虫害专业化统防统</w:t>
      </w:r>
      <w:r>
        <w:rPr>
          <w:rFonts w:hint="eastAsia" w:ascii="仿宋_GB2312" w:hAnsi="仿宋_GB2312" w:cs="仿宋_GB2312"/>
          <w:color w:val="000000"/>
          <w:szCs w:val="32"/>
        </w:rPr>
        <w:t>治组织，开展专业化统防统治示范推广，列入统防统治示范县的，每县每年给予补助</w:t>
      </w:r>
      <w:r>
        <w:rPr>
          <w:rFonts w:ascii="仿宋_GB2312" w:hAnsi="仿宋_GB2312" w:cs="仿宋_GB2312"/>
          <w:color w:val="000000"/>
          <w:szCs w:val="32"/>
        </w:rPr>
        <w:t>5</w:t>
      </w:r>
      <w:r>
        <w:rPr>
          <w:rFonts w:hint="eastAsia" w:ascii="仿宋_GB2312" w:hAnsi="仿宋_GB2312" w:cs="仿宋_GB2312"/>
          <w:color w:val="000000"/>
          <w:szCs w:val="32"/>
        </w:rPr>
        <w:t>万元。</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（七）保障粮农利益</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19.</w:t>
      </w:r>
      <w:r>
        <w:rPr>
          <w:rFonts w:hint="eastAsia" w:ascii="仿宋_GB2312" w:hAnsi="仿宋_GB2312" w:cs="仿宋_GB2312"/>
          <w:b/>
          <w:color w:val="000000"/>
          <w:szCs w:val="32"/>
        </w:rPr>
        <w:t>落实最低收购价格。</w:t>
      </w:r>
      <w:r>
        <w:rPr>
          <w:rFonts w:hint="eastAsia" w:ascii="仿宋_GB2312" w:hAnsi="仿宋_GB2312" w:cs="仿宋_GB2312"/>
          <w:color w:val="000000"/>
          <w:szCs w:val="32"/>
        </w:rPr>
        <w:t>以省政府公布的当年籼稻谷最低收购价格为标准，以不低于最低收购价格收购农民种植的籼稻谷，确保应收尽收，保障农民利益，提高农民种粮积极性。</w:t>
      </w:r>
    </w:p>
    <w:p>
      <w:pPr>
        <w:spacing w:line="580" w:lineRule="exact"/>
        <w:ind w:firstLine="643" w:firstLineChars="200"/>
        <w:rPr>
          <w:rFonts w:ascii="仿宋_GB2312" w:cs="仿宋_GB2312"/>
          <w:color w:val="000000"/>
          <w:szCs w:val="32"/>
        </w:rPr>
      </w:pPr>
      <w:r>
        <w:rPr>
          <w:rFonts w:ascii="仿宋_GB2312" w:hAnsi="仿宋_GB2312" w:cs="仿宋_GB2312"/>
          <w:b/>
          <w:bCs/>
          <w:color w:val="000000"/>
          <w:szCs w:val="32"/>
        </w:rPr>
        <w:t>20.</w:t>
      </w:r>
      <w:r>
        <w:rPr>
          <w:rFonts w:hint="eastAsia" w:ascii="仿宋_GB2312" w:hAnsi="仿宋_GB2312" w:cs="仿宋_GB2312"/>
          <w:b/>
          <w:bCs/>
          <w:color w:val="000000"/>
          <w:szCs w:val="32"/>
        </w:rPr>
        <w:t>实行直接补贴。</w:t>
      </w:r>
      <w:r>
        <w:rPr>
          <w:rFonts w:hint="eastAsia" w:ascii="仿宋_GB2312" w:hAnsi="仿宋_GB2312" w:cs="仿宋_GB2312"/>
          <w:color w:val="000000"/>
          <w:szCs w:val="32"/>
        </w:rPr>
        <w:t>鼓励农民与国有粮食购销企业签订粮食储备订单，在不低于省公布籼稻谷最低收购价的基础上，对储备订单售粮农民给予每</w:t>
      </w:r>
      <w:r>
        <w:rPr>
          <w:rFonts w:ascii="仿宋_GB2312" w:hAnsi="仿宋_GB2312" w:cs="仿宋_GB2312"/>
          <w:color w:val="000000"/>
          <w:szCs w:val="32"/>
        </w:rPr>
        <w:t>50</w:t>
      </w:r>
      <w:r>
        <w:rPr>
          <w:rFonts w:hint="eastAsia" w:ascii="仿宋_GB2312" w:hAnsi="仿宋_GB2312" w:cs="仿宋_GB2312"/>
          <w:color w:val="000000"/>
          <w:szCs w:val="32"/>
        </w:rPr>
        <w:t>公斤</w:t>
      </w:r>
      <w:r>
        <w:rPr>
          <w:rFonts w:ascii="仿宋_GB2312" w:hAnsi="仿宋_GB2312" w:cs="仿宋_GB2312"/>
          <w:color w:val="000000"/>
          <w:szCs w:val="32"/>
        </w:rPr>
        <w:t>12</w:t>
      </w:r>
      <w:r>
        <w:rPr>
          <w:rFonts w:hint="eastAsia" w:ascii="仿宋_GB2312" w:hAnsi="仿宋_GB2312" w:cs="仿宋_GB2312"/>
          <w:color w:val="000000"/>
          <w:szCs w:val="32"/>
        </w:rPr>
        <w:t>元的直接补贴。</w:t>
      </w:r>
    </w:p>
    <w:p>
      <w:pPr>
        <w:spacing w:line="580" w:lineRule="exact"/>
        <w:ind w:firstLine="620" w:firstLineChars="200"/>
        <w:rPr>
          <w:rFonts w:ascii="仿宋" w:hAnsi="仿宋" w:eastAsia="仿宋" w:cs="仿宋"/>
          <w:color w:val="000000"/>
          <w:szCs w:val="32"/>
        </w:rPr>
      </w:pPr>
      <w:r>
        <w:rPr>
          <w:rFonts w:hint="eastAsia" w:ascii="黑体" w:eastAsia="黑体"/>
          <w:color w:val="000000"/>
          <w:sz w:val="31"/>
          <w:szCs w:val="31"/>
        </w:rPr>
        <w:t>二、工作要求</w:t>
      </w:r>
      <w:r>
        <w:rPr>
          <w:rFonts w:hint="eastAsia" w:ascii="仿宋" w:hAnsi="仿宋" w:eastAsia="仿宋" w:cs="仿宋"/>
          <w:color w:val="000000"/>
          <w:szCs w:val="32"/>
          <w:shd w:val="clear" w:color="auto" w:fill="FFFFFF"/>
        </w:rPr>
        <w:t>　　</w:t>
      </w:r>
    </w:p>
    <w:p>
      <w:pPr>
        <w:spacing w:line="580" w:lineRule="exact"/>
        <w:ind w:firstLine="643" w:firstLineChars="200"/>
        <w:rPr>
          <w:rFonts w:ascii="仿宋_GB2312" w:cs="仿宋_GB2312"/>
          <w:color w:val="000000"/>
          <w:szCs w:val="32"/>
        </w:rPr>
      </w:pPr>
      <w:r>
        <w:rPr>
          <w:rFonts w:hint="eastAsia" w:ascii="楷体_GB2312" w:hAnsi="楷体" w:eastAsia="楷体_GB2312" w:cs="仿宋"/>
          <w:b/>
          <w:snapToGrid w:val="0"/>
          <w:color w:val="000000"/>
          <w:kern w:val="28"/>
          <w:szCs w:val="32"/>
        </w:rPr>
        <w:t>（一）强化组织领导。</w:t>
      </w:r>
      <w:r>
        <w:rPr>
          <w:rFonts w:hint="eastAsia" w:ascii="仿宋" w:hAnsi="仿宋" w:eastAsia="仿宋" w:cs="仿宋"/>
          <w:color w:val="000000"/>
          <w:szCs w:val="32"/>
        </w:rPr>
        <w:t>要</w:t>
      </w:r>
      <w:r>
        <w:rPr>
          <w:rFonts w:hint="eastAsia" w:ascii="仿宋_GB2312" w:hAnsi="仿宋_GB2312" w:cs="仿宋_GB2312"/>
          <w:color w:val="000000"/>
          <w:szCs w:val="32"/>
        </w:rPr>
        <w:t>坚持一把手亲自抓、负总责，统筹布局、整体推进粮食生产、加工、收购、储备等环节；要根据各地实际，进一步完善保障粮食安全政策措施，不断提高粮食自给水平和粮食安全保障能力。</w:t>
      </w:r>
    </w:p>
    <w:p>
      <w:pPr>
        <w:spacing w:line="560" w:lineRule="exact"/>
        <w:ind w:firstLine="643" w:firstLineChars="200"/>
        <w:rPr>
          <w:rFonts w:ascii="仿宋_GB2312" w:cs="仿宋_GB2312"/>
          <w:color w:val="000000"/>
          <w:szCs w:val="32"/>
        </w:rPr>
      </w:pPr>
      <w:r>
        <w:rPr>
          <w:rFonts w:hint="eastAsia" w:ascii="楷体_GB2312" w:hAnsi="楷体" w:eastAsia="楷体_GB2312" w:cs="仿宋"/>
          <w:b/>
          <w:snapToGrid w:val="0"/>
          <w:kern w:val="28"/>
          <w:szCs w:val="32"/>
        </w:rPr>
        <w:t>（二）强化责任落实。</w:t>
      </w:r>
      <w:r>
        <w:rPr>
          <w:rFonts w:hint="eastAsia" w:ascii="仿宋" w:hAnsi="仿宋" w:eastAsia="仿宋" w:cs="仿宋"/>
          <w:szCs w:val="32"/>
        </w:rPr>
        <w:t>要</w:t>
      </w:r>
      <w:r>
        <w:rPr>
          <w:rFonts w:hint="eastAsia" w:ascii="仿宋_GB2312" w:hAnsi="仿宋_GB2312" w:cs="仿宋_GB2312"/>
          <w:szCs w:val="32"/>
        </w:rPr>
        <w:t>坚持粮食安全党政同责，强化各级</w:t>
      </w:r>
      <w:r>
        <w:rPr>
          <w:rFonts w:hint="eastAsia" w:ascii="仿宋_GB2312" w:hAnsi="仿宋_GB2312" w:cs="仿宋_GB2312"/>
          <w:color w:val="000000"/>
          <w:szCs w:val="32"/>
        </w:rPr>
        <w:t>党委、政府领导班子及其成员履行粮食安全职责任务，齐抓共管，狠抓落实，进一步提高粮食产能，保障粮食安全。</w:t>
      </w:r>
    </w:p>
    <w:p>
      <w:pPr>
        <w:spacing w:line="560" w:lineRule="exact"/>
        <w:ind w:firstLine="643" w:firstLineChars="200"/>
        <w:rPr>
          <w:rFonts w:ascii="仿宋_GB2312" w:cs="仿宋_GB2312"/>
          <w:szCs w:val="32"/>
        </w:rPr>
      </w:pPr>
      <w:r>
        <w:rPr>
          <w:rFonts w:hint="eastAsia" w:ascii="楷体_GB2312" w:hAnsi="楷体" w:eastAsia="楷体_GB2312" w:cs="仿宋"/>
          <w:b/>
          <w:snapToGrid w:val="0"/>
          <w:color w:val="000000"/>
          <w:kern w:val="28"/>
          <w:szCs w:val="32"/>
        </w:rPr>
        <w:t>（三）强化资金管理。</w:t>
      </w:r>
      <w:r>
        <w:rPr>
          <w:rFonts w:hint="eastAsia" w:ascii="仿宋_GB2312" w:hAnsi="仿宋_GB2312" w:cs="仿宋_GB2312"/>
          <w:color w:val="000000"/>
          <w:szCs w:val="32"/>
        </w:rPr>
        <w:t>各乡镇及有关部门要</w:t>
      </w:r>
      <w:r>
        <w:rPr>
          <w:rFonts w:hint="eastAsia" w:ascii="仿宋_GB2312" w:hAnsi="仿宋_GB2312" w:cs="仿宋_GB2312"/>
          <w:szCs w:val="32"/>
        </w:rPr>
        <w:t>根据要求实事求是逐项做好验收汇总工作，并及时兑付奖补资金，加强资金监管，提高资金使用的规范性、安全性和有效性。</w:t>
      </w:r>
    </w:p>
    <w:p>
      <w:pPr>
        <w:spacing w:line="560" w:lineRule="exact"/>
        <w:ind w:firstLine="643" w:firstLineChars="200"/>
        <w:rPr>
          <w:rFonts w:ascii="仿宋_GB2312" w:cs="仿宋_GB2312"/>
          <w:color w:val="000000"/>
          <w:szCs w:val="32"/>
        </w:rPr>
      </w:pPr>
      <w:r>
        <w:rPr>
          <w:rFonts w:hint="eastAsia" w:ascii="楷体_GB2312" w:hAnsi="楷体" w:eastAsia="楷体_GB2312" w:cs="仿宋"/>
          <w:b/>
          <w:snapToGrid w:val="0"/>
          <w:color w:val="000000"/>
          <w:kern w:val="28"/>
          <w:szCs w:val="32"/>
        </w:rPr>
        <w:t>（四）强化考评指导。</w:t>
      </w:r>
      <w:r>
        <w:rPr>
          <w:rFonts w:hint="eastAsia" w:ascii="仿宋_GB2312" w:hAnsi="仿宋_GB2312" w:cs="仿宋_GB2312"/>
          <w:color w:val="000000"/>
          <w:szCs w:val="32"/>
        </w:rPr>
        <w:t>要组织农业技术人员，定期不定期地深入一线开展技术指导，推进各项政策措施的落实，协助解决困难和问题；要强化项目验收考评及总结工作。</w:t>
      </w:r>
    </w:p>
    <w:p>
      <w:pPr>
        <w:pStyle w:val="9"/>
        <w:shd w:val="clear" w:color="auto" w:fill="FFFFFF"/>
        <w:spacing w:line="560" w:lineRule="exact"/>
        <w:ind w:firstLine="640" w:firstLineChars="200"/>
        <w:jc w:val="both"/>
        <w:rPr>
          <w:rFonts w:ascii="仿宋_GB2312" w:hAnsi="仿宋" w:eastAsia="仿宋_GB2312" w:cs="仿宋"/>
          <w:color w:val="auto"/>
          <w:sz w:val="32"/>
        </w:rPr>
      </w:pPr>
      <w:r>
        <w:rPr>
          <w:rFonts w:hint="eastAsia" w:ascii="仿宋_GB2312" w:eastAsia="仿宋_GB2312"/>
          <w:color w:val="auto"/>
          <w:sz w:val="32"/>
          <w:lang w:val="en-US" w:eastAsia="zh-CN"/>
        </w:rPr>
        <w:t>本文件自</w:t>
      </w:r>
      <w:r>
        <w:rPr>
          <w:rFonts w:hint="default" w:ascii="仿宋_GB2312" w:eastAsia="仿宋_GB2312"/>
          <w:color w:val="auto"/>
          <w:sz w:val="32"/>
          <w:lang w:val="en-US" w:eastAsia="zh-CN"/>
        </w:rPr>
        <w:t>2024</w:t>
      </w:r>
      <w:r>
        <w:rPr>
          <w:rFonts w:hint="eastAsia" w:ascii="仿宋_GB2312" w:eastAsia="仿宋_GB2312"/>
          <w:color w:val="auto"/>
          <w:sz w:val="32"/>
          <w:lang w:val="en-US" w:eastAsia="zh-CN"/>
        </w:rPr>
        <w:t>年9月29日起施行，有效期至2025年12月31日止。</w:t>
      </w:r>
      <w:r>
        <w:rPr>
          <w:rFonts w:hint="eastAsia" w:ascii="仿宋_GB2312" w:eastAsia="仿宋_GB2312"/>
          <w:color w:val="auto"/>
          <w:sz w:val="32"/>
        </w:rPr>
        <w:t>文件中的相关扶持政策若与其他扶持政策相冲突，按照就高不就低的原则执行，但不得重复奖励或补助</w:t>
      </w:r>
      <w:r>
        <w:rPr>
          <w:rFonts w:hint="eastAsia" w:ascii="仿宋_GB2312" w:eastAsia="仿宋_GB2312"/>
          <w:color w:val="auto"/>
          <w:sz w:val="32"/>
          <w:lang w:eastAsia="zh-CN"/>
        </w:rPr>
        <w:t>。《</w:t>
      </w:r>
      <w:r>
        <w:rPr>
          <w:rFonts w:hint="eastAsia" w:ascii="仿宋_GB2312" w:eastAsia="仿宋_GB2312"/>
          <w:color w:val="auto"/>
          <w:sz w:val="32"/>
        </w:rPr>
        <w:t>安溪县农业农村局</w:t>
      </w:r>
      <w:r>
        <w:rPr>
          <w:rFonts w:hint="eastAsia" w:ascii="仿宋_GB2312" w:eastAsia="仿宋_GB2312"/>
          <w:color w:val="auto"/>
          <w:sz w:val="32"/>
          <w:lang w:val="en-US" w:eastAsia="zh-CN"/>
        </w:rPr>
        <w:t xml:space="preserve"> </w:t>
      </w:r>
      <w:r>
        <w:rPr>
          <w:rFonts w:hint="eastAsia" w:ascii="仿宋_GB2312" w:eastAsia="仿宋_GB2312"/>
          <w:color w:val="auto"/>
          <w:sz w:val="32"/>
        </w:rPr>
        <w:t>安溪县贯彻落实粮食安全责任制领导小组办公室</w:t>
      </w:r>
      <w:r>
        <w:rPr>
          <w:rFonts w:hint="eastAsia" w:ascii="仿宋_GB2312" w:eastAsia="仿宋_GB2312"/>
          <w:color w:val="auto"/>
          <w:sz w:val="32"/>
          <w:lang w:val="en-US" w:eastAsia="zh-CN"/>
        </w:rPr>
        <w:t xml:space="preserve"> </w:t>
      </w:r>
      <w:r>
        <w:rPr>
          <w:rFonts w:hint="eastAsia" w:ascii="仿宋_GB2312" w:eastAsia="仿宋_GB2312"/>
          <w:color w:val="auto"/>
          <w:sz w:val="32"/>
        </w:rPr>
        <w:t>安溪县发展和改革局 安溪县财政局关于扶持粮油生产保障粮食安全若干措施的通知</w:t>
      </w:r>
      <w:r>
        <w:rPr>
          <w:rFonts w:hint="eastAsia" w:ascii="仿宋_GB2312" w:eastAsia="仿宋_GB2312"/>
          <w:color w:val="auto"/>
          <w:sz w:val="32"/>
          <w:lang w:eastAsia="zh-CN"/>
        </w:rPr>
        <w:t>》（</w:t>
      </w:r>
      <w:r>
        <w:rPr>
          <w:rFonts w:hint="eastAsia" w:ascii="仿宋_GB2312" w:eastAsia="仿宋_GB2312"/>
          <w:color w:val="auto"/>
          <w:sz w:val="32"/>
        </w:rPr>
        <w:t>安农〔2023〕67号</w:t>
      </w:r>
      <w:r>
        <w:rPr>
          <w:rFonts w:hint="eastAsia" w:ascii="仿宋_GB2312" w:eastAsia="仿宋_GB2312"/>
          <w:color w:val="auto"/>
          <w:sz w:val="32"/>
          <w:lang w:eastAsia="zh-CN"/>
        </w:rPr>
        <w:t>）同时废止。</w:t>
      </w:r>
      <w:r>
        <w:rPr>
          <w:rFonts w:hint="eastAsia" w:ascii="仿宋_GB2312" w:eastAsia="仿宋_GB2312"/>
          <w:color w:val="auto"/>
          <w:sz w:val="32"/>
        </w:rPr>
        <w:t>文件解释权归县农业农村局。</w:t>
      </w:r>
    </w:p>
    <w:p>
      <w:pPr>
        <w:pStyle w:val="3"/>
        <w:spacing w:before="0" w:after="0" w:line="560" w:lineRule="exact"/>
        <w:ind w:firstLine="640" w:firstLineChars="200"/>
        <w:jc w:val="left"/>
        <w:rPr>
          <w:rFonts w:ascii="仿宋" w:hAnsi="仿宋" w:eastAsia="仿宋" w:cs="仿宋"/>
          <w:b w:val="0"/>
          <w:color w:val="000000"/>
          <w:kern w:val="2"/>
          <w:sz w:val="32"/>
          <w:szCs w:val="32"/>
        </w:rPr>
      </w:pPr>
    </w:p>
    <w:p/>
    <w:p>
      <w:pPr>
        <w:pStyle w:val="3"/>
        <w:spacing w:before="0" w:after="0" w:line="540" w:lineRule="exact"/>
        <w:ind w:firstLine="1049" w:firstLineChars="328"/>
        <w:jc w:val="left"/>
        <w:rPr>
          <w:rFonts w:ascii="仿宋_GB2312" w:hAnsi="仿宋_GB2312" w:eastAsia="仿宋_GB2312" w:cs="仿宋_GB2312"/>
          <w:b w:val="0"/>
          <w:color w:val="000000"/>
          <w:sz w:val="32"/>
          <w:szCs w:val="32"/>
        </w:rPr>
      </w:pPr>
      <w:r>
        <w:rPr>
          <w:rFonts w:hint="eastAsia" w:ascii="仿宋_GB2312" w:hAnsi="宋体" w:eastAsia="仿宋_GB2312"/>
          <w:b w:val="0"/>
          <w:kern w:val="0"/>
          <w:sz w:val="32"/>
          <w:szCs w:val="24"/>
        </w:rPr>
        <w:t>安溪县农业农村局</w:t>
      </w:r>
      <w:r>
        <w:rPr>
          <w:rFonts w:ascii="仿宋_GB2312" w:hAnsi="宋体" w:eastAsia="仿宋_GB2312"/>
          <w:b w:val="0"/>
          <w:kern w:val="0"/>
          <w:sz w:val="32"/>
          <w:szCs w:val="24"/>
        </w:rPr>
        <w:t xml:space="preserve">     </w:t>
      </w:r>
      <w:r>
        <w:rPr>
          <w:rFonts w:hint="eastAsia" w:ascii="仿宋_GB2312" w:hAnsi="宋体" w:eastAsia="仿宋_GB2312"/>
          <w:b w:val="0"/>
          <w:kern w:val="0"/>
          <w:sz w:val="32"/>
          <w:szCs w:val="24"/>
          <w:lang w:val="en-US" w:eastAsia="zh-CN"/>
        </w:rPr>
        <w:t xml:space="preserve"> </w:t>
      </w:r>
      <w:r>
        <w:rPr>
          <w:rFonts w:ascii="仿宋_GB2312" w:hAnsi="宋体" w:eastAsia="仿宋_GB2312"/>
          <w:b w:val="0"/>
          <w:kern w:val="0"/>
          <w:sz w:val="32"/>
          <w:szCs w:val="24"/>
        </w:rPr>
        <w:t xml:space="preserve"> </w:t>
      </w:r>
      <w:r>
        <w:rPr>
          <w:rFonts w:hint="eastAsia" w:ascii="仿宋_GB2312" w:hAnsi="仿宋_GB2312" w:eastAsia="仿宋_GB2312" w:cs="仿宋_GB2312"/>
          <w:b w:val="0"/>
          <w:color w:val="000000"/>
          <w:sz w:val="32"/>
          <w:szCs w:val="32"/>
        </w:rPr>
        <w:t>安溪县发展和改革局</w:t>
      </w:r>
      <w:r>
        <w:rPr>
          <w:rFonts w:ascii="仿宋_GB2312" w:hAnsi="仿宋_GB2312" w:eastAsia="仿宋_GB2312" w:cs="仿宋_GB2312"/>
          <w:b w:val="0"/>
          <w:color w:val="000000"/>
          <w:sz w:val="32"/>
          <w:szCs w:val="32"/>
        </w:rPr>
        <w:t xml:space="preserve"> </w:t>
      </w:r>
      <w:r>
        <w:rPr>
          <w:rFonts w:ascii="仿宋_GB2312" w:hAnsi="宋体" w:eastAsia="仿宋_GB2312"/>
          <w:b w:val="0"/>
          <w:kern w:val="0"/>
          <w:sz w:val="32"/>
          <w:szCs w:val="24"/>
        </w:rPr>
        <w:t xml:space="preserve"> </w:t>
      </w:r>
      <w:r>
        <w:rPr>
          <w:rFonts w:ascii="仿宋_GB2312" w:hAnsi="仿宋_GB2312" w:eastAsia="仿宋_GB2312" w:cs="仿宋_GB2312"/>
          <w:b w:val="0"/>
          <w:color w:val="000000"/>
          <w:sz w:val="32"/>
          <w:szCs w:val="32"/>
        </w:rPr>
        <w:t xml:space="preserve">      </w:t>
      </w:r>
    </w:p>
    <w:p>
      <w:pPr>
        <w:pStyle w:val="3"/>
        <w:spacing w:before="0" w:after="0" w:line="540" w:lineRule="exact"/>
        <w:ind w:firstLine="1049" w:firstLineChars="328"/>
        <w:jc w:val="left"/>
        <w:rPr>
          <w:rFonts w:ascii="仿宋_GB2312" w:hAnsi="仿宋_GB2312" w:eastAsia="仿宋_GB2312" w:cs="仿宋_GB2312"/>
          <w:b w:val="0"/>
          <w:color w:val="000000"/>
          <w:sz w:val="32"/>
          <w:szCs w:val="32"/>
        </w:rPr>
      </w:pPr>
    </w:p>
    <w:p>
      <w:pPr>
        <w:pStyle w:val="3"/>
        <w:spacing w:before="0" w:after="0" w:line="540" w:lineRule="exact"/>
        <w:ind w:firstLine="5523" w:firstLineChars="1726"/>
        <w:jc w:val="left"/>
        <w:rPr>
          <w:rFonts w:hint="eastAsia" w:ascii="仿宋_GB2312" w:hAnsi="仿宋_GB2312" w:eastAsia="仿宋_GB2312" w:cs="仿宋_GB2312"/>
          <w:b w:val="0"/>
          <w:color w:val="000000"/>
          <w:sz w:val="32"/>
          <w:szCs w:val="32"/>
        </w:rPr>
      </w:pPr>
    </w:p>
    <w:p>
      <w:pPr>
        <w:pStyle w:val="3"/>
        <w:spacing w:before="0" w:after="0" w:line="540" w:lineRule="exact"/>
        <w:ind w:firstLine="5523" w:firstLineChars="1726"/>
        <w:jc w:val="left"/>
        <w:rPr>
          <w:rFonts w:hint="eastAsia" w:ascii="仿宋_GB2312" w:hAnsi="仿宋_GB2312" w:eastAsia="仿宋_GB2312" w:cs="仿宋_GB2312"/>
          <w:b w:val="0"/>
          <w:color w:val="000000"/>
          <w:sz w:val="32"/>
          <w:szCs w:val="32"/>
        </w:rPr>
      </w:pPr>
    </w:p>
    <w:p>
      <w:pPr>
        <w:pStyle w:val="3"/>
        <w:spacing w:before="0" w:after="0" w:line="540" w:lineRule="exact"/>
        <w:ind w:left="0" w:leftChars="0" w:firstLine="4719" w:firstLineChars="1151"/>
        <w:jc w:val="left"/>
        <w:rPr>
          <w:rFonts w:ascii="仿宋_GB2312" w:hAnsi="仿宋_GB2312" w:eastAsia="仿宋_GB2312" w:cs="仿宋_GB2312"/>
          <w:b w:val="0"/>
          <w:color w:val="000000"/>
          <w:spacing w:val="45"/>
          <w:sz w:val="32"/>
          <w:szCs w:val="32"/>
        </w:rPr>
      </w:pPr>
      <w:r>
        <w:rPr>
          <w:rFonts w:hint="eastAsia" w:ascii="仿宋_GB2312" w:hAnsi="仿宋_GB2312" w:eastAsia="仿宋_GB2312" w:cs="仿宋_GB2312"/>
          <w:b w:val="0"/>
          <w:color w:val="000000"/>
          <w:spacing w:val="45"/>
          <w:sz w:val="32"/>
          <w:szCs w:val="32"/>
        </w:rPr>
        <w:t>安溪</w:t>
      </w:r>
      <w:bookmarkStart w:id="0" w:name="_GoBack"/>
      <w:bookmarkEnd w:id="0"/>
      <w:r>
        <w:rPr>
          <w:rFonts w:hint="eastAsia" w:ascii="仿宋_GB2312" w:hAnsi="仿宋_GB2312" w:eastAsia="仿宋_GB2312" w:cs="仿宋_GB2312"/>
          <w:b w:val="0"/>
          <w:color w:val="000000"/>
          <w:spacing w:val="45"/>
          <w:sz w:val="32"/>
          <w:szCs w:val="32"/>
        </w:rPr>
        <w:t>县财政局</w:t>
      </w:r>
    </w:p>
    <w:p>
      <w:pPr>
        <w:tabs>
          <w:tab w:val="left" w:pos="7560"/>
        </w:tabs>
        <w:spacing w:line="540" w:lineRule="exact"/>
        <w:ind w:left="0" w:leftChars="0" w:firstLine="4697" w:firstLineChars="1468"/>
        <w:rPr>
          <w:rFonts w:ascii="仿宋_GB2312" w:hAnsi="仿宋_GB2312" w:cs="仿宋_GB2312"/>
          <w:color w:val="000000"/>
          <w:kern w:val="44"/>
          <w:szCs w:val="32"/>
        </w:rPr>
      </w:pPr>
      <w:r>
        <w:rPr>
          <w:rFonts w:ascii="仿宋_GB2312" w:hAnsi="仿宋_GB2312" w:cs="仿宋_GB2312"/>
          <w:color w:val="000000"/>
          <w:kern w:val="44"/>
          <w:szCs w:val="32"/>
        </w:rPr>
        <w:t>202</w:t>
      </w:r>
      <w:r>
        <w:rPr>
          <w:rFonts w:hint="eastAsia" w:ascii="仿宋_GB2312" w:hAnsi="仿宋_GB2312" w:cs="仿宋_GB2312"/>
          <w:color w:val="000000"/>
          <w:kern w:val="44"/>
          <w:szCs w:val="32"/>
          <w:lang w:val="en-US" w:eastAsia="zh-CN"/>
        </w:rPr>
        <w:t>4</w:t>
      </w:r>
      <w:r>
        <w:rPr>
          <w:rFonts w:hint="eastAsia" w:ascii="仿宋_GB2312" w:hAnsi="仿宋_GB2312" w:cs="仿宋_GB2312"/>
          <w:color w:val="000000"/>
          <w:kern w:val="44"/>
          <w:szCs w:val="32"/>
        </w:rPr>
        <w:t>年</w:t>
      </w:r>
      <w:r>
        <w:rPr>
          <w:rFonts w:hint="eastAsia" w:ascii="仿宋_GB2312" w:hAnsi="仿宋_GB2312" w:cs="仿宋_GB2312"/>
          <w:color w:val="000000"/>
          <w:kern w:val="44"/>
          <w:szCs w:val="32"/>
          <w:lang w:val="en-US" w:eastAsia="zh-CN"/>
        </w:rPr>
        <w:t>9</w:t>
      </w:r>
      <w:r>
        <w:rPr>
          <w:rFonts w:hint="eastAsia" w:ascii="仿宋_GB2312" w:hAnsi="仿宋_GB2312" w:cs="仿宋_GB2312"/>
          <w:color w:val="000000"/>
          <w:kern w:val="44"/>
          <w:szCs w:val="32"/>
        </w:rPr>
        <w:t>月</w:t>
      </w:r>
      <w:r>
        <w:rPr>
          <w:rFonts w:hint="eastAsia" w:ascii="仿宋_GB2312" w:hAnsi="仿宋_GB2312" w:cs="仿宋_GB2312"/>
          <w:color w:val="000000"/>
          <w:kern w:val="44"/>
          <w:szCs w:val="32"/>
          <w:lang w:val="en-US" w:eastAsia="zh-CN"/>
        </w:rPr>
        <w:t>29</w:t>
      </w:r>
      <w:r>
        <w:rPr>
          <w:rFonts w:hint="eastAsia" w:ascii="仿宋_GB2312" w:hAnsi="仿宋_GB2312" w:cs="仿宋_GB2312"/>
          <w:color w:val="000000"/>
          <w:kern w:val="44"/>
          <w:szCs w:val="32"/>
        </w:rPr>
        <w:t>日</w:t>
      </w:r>
      <w:r>
        <w:rPr>
          <w:rFonts w:ascii="仿宋_GB2312" w:hAnsi="仿宋_GB2312" w:cs="仿宋_GB2312"/>
          <w:color w:val="000000"/>
          <w:kern w:val="44"/>
          <w:szCs w:val="32"/>
        </w:rPr>
        <w:t xml:space="preserve"> </w:t>
      </w:r>
    </w:p>
    <w:p>
      <w:pPr>
        <w:pStyle w:val="23"/>
        <w:spacing w:beforeLines="100" w:line="560" w:lineRule="exac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（此件主动公开）</w:t>
      </w:r>
    </w:p>
    <w:p>
      <w:pPr>
        <w:pStyle w:val="2"/>
        <w:spacing w:line="540" w:lineRule="exact"/>
        <w:rPr>
          <w:rFonts w:ascii="仿宋_GB2312" w:cs="仿宋_GB2312"/>
          <w:spacing w:val="-11"/>
          <w:szCs w:val="32"/>
        </w:rPr>
      </w:pPr>
    </w:p>
    <w:p>
      <w:pPr>
        <w:spacing w:line="560" w:lineRule="exact"/>
        <w:rPr>
          <w:rFonts w:ascii="仿宋_GB2312" w:cs="仿宋_GB2312"/>
          <w:color w:val="000000"/>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640"/>
        <w:rPr>
          <w:sz w:val="28"/>
          <w:szCs w:val="28"/>
        </w:rPr>
      </w:pPr>
    </w:p>
    <w:p>
      <w:pPr>
        <w:pStyle w:val="2"/>
        <w:ind w:left="640"/>
        <w:rPr>
          <w:sz w:val="28"/>
          <w:szCs w:val="28"/>
        </w:rPr>
      </w:pPr>
    </w:p>
    <w:p>
      <w:pPr>
        <w:pStyle w:val="2"/>
        <w:ind w:left="640"/>
        <w:rPr>
          <w:sz w:val="28"/>
          <w:szCs w:val="28"/>
        </w:rPr>
      </w:pPr>
    </w:p>
    <w:p>
      <w:pPr>
        <w:spacing w:line="540" w:lineRule="exact"/>
        <w:ind w:firstLine="320" w:firstLineChars="100"/>
        <w:rPr>
          <w:rFonts w:ascii="仿宋_GB2312" w:cs="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29300" cy="0"/>
                <wp:effectExtent l="0" t="4445" r="0" b="5080"/>
                <wp:wrapNone/>
                <wp:docPr id="2" name="直线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9pt;z-index:251660288;mso-width-relative:page;mso-height-relative:page;" filled="f" stroked="t" coordsize="21600,21600" o:gfxdata="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exdk/QAAAAAgEAAA8AAAAAAAAAAQAgAAAAIgAAAGRycy9kb3du&#10;cmV2LnhtbFBLAQIUABQAAAAIAIdO4kDeAKyRzgEAAI0DAAAOAAAAAAAAAAEAIAAAAB8BAABkcnMv&#10;ZTJvRG9jLnhtbFBLBQYAAAAABgAGAFkBAABfBQAAAAA=&#10;">
                <v:fill on="f" focussize="0,0"/>
                <v:stroke color="#000000" joinstyle="round"/>
                <v:imagedata o:title=""/>
                <o:lock v:ext="edit" aspectratio="f"/>
              </v:line>
            </w:pict>
          </mc:Fallback>
        </mc:AlternateContent>
      </w:r>
      <w:r>
        <w:rPr>
          <w:rFonts w:hint="eastAsia" w:cs="仿宋_GB2312"/>
          <w:color w:val="000000"/>
          <w:sz w:val="28"/>
          <w:szCs w:val="28"/>
        </w:rPr>
        <w:t>安溪县农业农村局办公室</w:t>
      </w:r>
      <w:r>
        <w:rPr>
          <w:rFonts w:cs="仿宋_GB2312"/>
          <w:color w:val="000000"/>
          <w:sz w:val="28"/>
          <w:szCs w:val="28"/>
        </w:rPr>
        <w:t xml:space="preserve">         </w:t>
      </w:r>
      <w:r>
        <w:rPr>
          <w:rFonts w:hint="eastAsia" w:cs="仿宋_GB2312"/>
          <w:color w:val="000000"/>
          <w:sz w:val="28"/>
          <w:szCs w:val="28"/>
          <w:lang w:val="en-US" w:eastAsia="zh-CN"/>
        </w:rPr>
        <w:t xml:space="preserve"> </w:t>
      </w:r>
      <w:r>
        <w:rPr>
          <w:rFonts w:cs="仿宋_GB2312"/>
          <w:color w:val="000000"/>
          <w:sz w:val="28"/>
          <w:szCs w:val="28"/>
        </w:rPr>
        <w:t xml:space="preserve">          </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365760</wp:posOffset>
                </wp:positionV>
                <wp:extent cx="5829300" cy="0"/>
                <wp:effectExtent l="0" t="4445" r="0" b="5080"/>
                <wp:wrapNone/>
                <wp:docPr id="3" name="直线 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8.8pt;height:0pt;width:459pt;z-index:251661312;mso-width-relative:page;mso-height-relative:page;" filled="f" stroked="t" coordsize="21600,21600" o:gfxdata="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Xuye1AAAAAYBAAAPAAAAAAAAAAEAIAAAACIAAABkcnMv&#10;ZG93bnJldi54bWxQSwECFAAUAAAACACHTuJA015NuM4BAACNAwAADgAAAAAAAAABACAAAAAjAQAA&#10;ZHJzL2Uyb0RvYy54bWxQSwUGAAAAAAYABgBZAQAAYwUAAAAA&#10;">
                <v:fill on="f" focussize="0,0"/>
                <v:stroke color="#000000" joinstyle="round"/>
                <v:imagedata o:title=""/>
                <o:lock v:ext="edit" aspectratio="f"/>
              </v:line>
            </w:pict>
          </mc:Fallback>
        </mc:AlternateContent>
      </w:r>
      <w:r>
        <w:rPr>
          <w:rFonts w:ascii="仿宋_GB2312" w:hAnsi="仿宋"/>
          <w:sz w:val="28"/>
          <w:szCs w:val="28"/>
        </w:rPr>
        <w:t>202</w:t>
      </w:r>
      <w:r>
        <w:rPr>
          <w:rFonts w:hint="eastAsia" w:ascii="仿宋_GB2312" w:hAnsi="仿宋"/>
          <w:sz w:val="28"/>
          <w:szCs w:val="28"/>
          <w:lang w:val="en-US" w:eastAsia="zh-CN"/>
        </w:rPr>
        <w:t>4</w:t>
      </w:r>
      <w:r>
        <w:rPr>
          <w:rFonts w:hint="eastAsia" w:ascii="仿宋_GB2312" w:hAnsi="仿宋"/>
          <w:sz w:val="28"/>
          <w:szCs w:val="28"/>
        </w:rPr>
        <w:t>年</w:t>
      </w:r>
      <w:r>
        <w:rPr>
          <w:rFonts w:hint="eastAsia" w:ascii="仿宋_GB2312" w:hAnsi="仿宋"/>
          <w:sz w:val="28"/>
          <w:szCs w:val="28"/>
          <w:lang w:val="en-US" w:eastAsia="zh-CN"/>
        </w:rPr>
        <w:t>9</w:t>
      </w:r>
      <w:r>
        <w:rPr>
          <w:rFonts w:hint="eastAsia" w:ascii="仿宋_GB2312" w:hAnsi="仿宋"/>
          <w:sz w:val="28"/>
          <w:szCs w:val="28"/>
        </w:rPr>
        <w:t>月</w:t>
      </w:r>
      <w:r>
        <w:rPr>
          <w:rFonts w:hint="eastAsia" w:ascii="仿宋_GB2312" w:hAnsi="仿宋"/>
          <w:sz w:val="28"/>
          <w:szCs w:val="28"/>
          <w:lang w:val="en-US" w:eastAsia="zh-CN"/>
        </w:rPr>
        <w:t>29</w:t>
      </w:r>
      <w:r>
        <w:rPr>
          <w:rFonts w:hint="eastAsia" w:ascii="仿宋_GB2312" w:hAnsi="仿宋"/>
          <w:sz w:val="28"/>
          <w:szCs w:val="28"/>
        </w:rPr>
        <w:t>日印发</w:t>
      </w:r>
    </w:p>
    <w:sectPr>
      <w:footerReference r:id="rId3" w:type="default"/>
      <w:footerReference r:id="rId4" w:type="even"/>
      <w:pgSz w:w="11906" w:h="16838"/>
      <w:pgMar w:top="1701" w:right="1474" w:bottom="1701" w:left="1474"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- 7 -</w:t>
    </w:r>
    <w:r>
      <w:rPr>
        <w:rStyle w:val="12"/>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GFjMzRmYmU2N2UxZGU2ZTBiYWUyNzkxNDJlNTAifQ=="/>
  </w:docVars>
  <w:rsids>
    <w:rsidRoot w:val="65EF3763"/>
    <w:rsid w:val="000A796B"/>
    <w:rsid w:val="000B6C75"/>
    <w:rsid w:val="000B6CFC"/>
    <w:rsid w:val="000F60C2"/>
    <w:rsid w:val="00127912"/>
    <w:rsid w:val="0013133D"/>
    <w:rsid w:val="00136086"/>
    <w:rsid w:val="00171CC4"/>
    <w:rsid w:val="0021232F"/>
    <w:rsid w:val="002964D0"/>
    <w:rsid w:val="0033316C"/>
    <w:rsid w:val="003872A5"/>
    <w:rsid w:val="003A08BD"/>
    <w:rsid w:val="003D5360"/>
    <w:rsid w:val="00406FA1"/>
    <w:rsid w:val="00414EC9"/>
    <w:rsid w:val="00424967"/>
    <w:rsid w:val="00430471"/>
    <w:rsid w:val="004600A9"/>
    <w:rsid w:val="00473619"/>
    <w:rsid w:val="004B5F68"/>
    <w:rsid w:val="004C0273"/>
    <w:rsid w:val="004C3130"/>
    <w:rsid w:val="004D4ECA"/>
    <w:rsid w:val="0053431F"/>
    <w:rsid w:val="00553BCD"/>
    <w:rsid w:val="005B1FF6"/>
    <w:rsid w:val="005B4813"/>
    <w:rsid w:val="00601810"/>
    <w:rsid w:val="006677FE"/>
    <w:rsid w:val="00692B7A"/>
    <w:rsid w:val="00692E87"/>
    <w:rsid w:val="006A01E0"/>
    <w:rsid w:val="006E4BF1"/>
    <w:rsid w:val="006F4F6D"/>
    <w:rsid w:val="007D49B9"/>
    <w:rsid w:val="0084633D"/>
    <w:rsid w:val="00855FBA"/>
    <w:rsid w:val="008A247D"/>
    <w:rsid w:val="008A6620"/>
    <w:rsid w:val="008C37DE"/>
    <w:rsid w:val="008C6A8F"/>
    <w:rsid w:val="008D5F75"/>
    <w:rsid w:val="008E624D"/>
    <w:rsid w:val="00934B66"/>
    <w:rsid w:val="009E7502"/>
    <w:rsid w:val="00A22E40"/>
    <w:rsid w:val="00A546CD"/>
    <w:rsid w:val="00A77ED2"/>
    <w:rsid w:val="00AF02E3"/>
    <w:rsid w:val="00AF2A9C"/>
    <w:rsid w:val="00B84BE3"/>
    <w:rsid w:val="00BD4064"/>
    <w:rsid w:val="00BF544F"/>
    <w:rsid w:val="00C01FBA"/>
    <w:rsid w:val="00C35019"/>
    <w:rsid w:val="00C545CC"/>
    <w:rsid w:val="00C977A6"/>
    <w:rsid w:val="00CD2E30"/>
    <w:rsid w:val="00CF5CA4"/>
    <w:rsid w:val="00D21C2C"/>
    <w:rsid w:val="00D50900"/>
    <w:rsid w:val="00D510DC"/>
    <w:rsid w:val="00D56595"/>
    <w:rsid w:val="00E42587"/>
    <w:rsid w:val="00E63B2B"/>
    <w:rsid w:val="00E9654F"/>
    <w:rsid w:val="00EB0FCC"/>
    <w:rsid w:val="00EE28DA"/>
    <w:rsid w:val="00EF4824"/>
    <w:rsid w:val="00F1704D"/>
    <w:rsid w:val="00F5449E"/>
    <w:rsid w:val="00F71934"/>
    <w:rsid w:val="00FE6ADD"/>
    <w:rsid w:val="05A2108D"/>
    <w:rsid w:val="08F206E6"/>
    <w:rsid w:val="09033F2E"/>
    <w:rsid w:val="0B060C2F"/>
    <w:rsid w:val="0B971BC7"/>
    <w:rsid w:val="0D232DCD"/>
    <w:rsid w:val="12347D26"/>
    <w:rsid w:val="12D37680"/>
    <w:rsid w:val="12FC3BC8"/>
    <w:rsid w:val="133E22E0"/>
    <w:rsid w:val="13425FB1"/>
    <w:rsid w:val="14285048"/>
    <w:rsid w:val="145A777C"/>
    <w:rsid w:val="15033CB7"/>
    <w:rsid w:val="15244AC6"/>
    <w:rsid w:val="1B882F7C"/>
    <w:rsid w:val="214B2840"/>
    <w:rsid w:val="2374033C"/>
    <w:rsid w:val="24A70A64"/>
    <w:rsid w:val="250D15D4"/>
    <w:rsid w:val="28A5003F"/>
    <w:rsid w:val="3373491A"/>
    <w:rsid w:val="3CEF353D"/>
    <w:rsid w:val="412B3864"/>
    <w:rsid w:val="45286535"/>
    <w:rsid w:val="48BD6925"/>
    <w:rsid w:val="4C1A1B61"/>
    <w:rsid w:val="529216D0"/>
    <w:rsid w:val="57FF535B"/>
    <w:rsid w:val="59321888"/>
    <w:rsid w:val="59E80F74"/>
    <w:rsid w:val="5E327005"/>
    <w:rsid w:val="65EF3763"/>
    <w:rsid w:val="678A0112"/>
    <w:rsid w:val="691750D8"/>
    <w:rsid w:val="6A2904FB"/>
    <w:rsid w:val="6BF37DD5"/>
    <w:rsid w:val="6D985B49"/>
    <w:rsid w:val="70D76905"/>
    <w:rsid w:val="718F2AC6"/>
    <w:rsid w:val="71FE6325"/>
    <w:rsid w:val="73890F06"/>
    <w:rsid w:val="740E5391"/>
    <w:rsid w:val="75E80890"/>
    <w:rsid w:val="7CA9333C"/>
    <w:rsid w:val="7DDE8759"/>
    <w:rsid w:val="7E003273"/>
    <w:rsid w:val="B27ECF28"/>
    <w:rsid w:val="B9F5AEF3"/>
    <w:rsid w:val="C2FE789A"/>
    <w:rsid w:val="D6FF536E"/>
    <w:rsid w:val="FFFFBC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rFonts w:eastAsia="宋体"/>
      <w:b/>
      <w:kern w:val="44"/>
      <w:sz w:val="44"/>
      <w:szCs w:val="20"/>
    </w:rPr>
  </w:style>
  <w:style w:type="character" w:default="1" w:styleId="11">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6"/>
    <w:qFormat/>
    <w:uiPriority w:val="99"/>
    <w:rPr>
      <w:rFonts w:ascii="宋体" w:hAnsi="Courier New"/>
      <w:szCs w:val="20"/>
    </w:rPr>
  </w:style>
  <w:style w:type="paragraph" w:styleId="4">
    <w:name w:val="Body Text Indent"/>
    <w:basedOn w:val="1"/>
    <w:link w:val="17"/>
    <w:qFormat/>
    <w:uiPriority w:val="99"/>
    <w:pPr>
      <w:spacing w:after="120"/>
      <w:ind w:left="420" w:leftChars="200"/>
    </w:p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Body Text First Indent 2"/>
    <w:basedOn w:val="4"/>
    <w:link w:val="22"/>
    <w:qFormat/>
    <w:uiPriority w:val="99"/>
    <w:pPr>
      <w:ind w:firstLine="420" w:firstLineChars="200"/>
    </w:pPr>
  </w:style>
  <w:style w:type="paragraph" w:styleId="8">
    <w:name w:val="header"/>
    <w:basedOn w:val="1"/>
    <w:link w:val="20"/>
    <w:qFormat/>
    <w:lock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10">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99"/>
    <w:rPr>
      <w:rFonts w:cs="Times New Roman"/>
    </w:rPr>
  </w:style>
  <w:style w:type="table" w:styleId="14">
    <w:name w:val="Table Grid"/>
    <w:basedOn w:val="13"/>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ing 1 Char"/>
    <w:basedOn w:val="11"/>
    <w:link w:val="3"/>
    <w:qFormat/>
    <w:locked/>
    <w:uiPriority w:val="99"/>
    <w:rPr>
      <w:rFonts w:eastAsia="仿宋_GB2312" w:cs="Times New Roman"/>
      <w:b/>
      <w:bCs/>
      <w:kern w:val="44"/>
      <w:sz w:val="44"/>
      <w:szCs w:val="44"/>
    </w:rPr>
  </w:style>
  <w:style w:type="character" w:customStyle="1" w:styleId="16">
    <w:name w:val="Plain Text Char"/>
    <w:basedOn w:val="11"/>
    <w:link w:val="2"/>
    <w:semiHidden/>
    <w:qFormat/>
    <w:locked/>
    <w:uiPriority w:val="99"/>
    <w:rPr>
      <w:rFonts w:ascii="宋体" w:hAnsi="Courier New" w:cs="Courier New"/>
      <w:sz w:val="21"/>
      <w:szCs w:val="21"/>
    </w:rPr>
  </w:style>
  <w:style w:type="character" w:customStyle="1" w:styleId="17">
    <w:name w:val="Body Text Indent Char"/>
    <w:basedOn w:val="11"/>
    <w:link w:val="4"/>
    <w:semiHidden/>
    <w:qFormat/>
    <w:locked/>
    <w:uiPriority w:val="99"/>
    <w:rPr>
      <w:rFonts w:eastAsia="仿宋_GB2312" w:cs="Times New Roman"/>
      <w:sz w:val="24"/>
      <w:szCs w:val="24"/>
    </w:rPr>
  </w:style>
  <w:style w:type="character" w:customStyle="1" w:styleId="18">
    <w:name w:val="Balloon Text Char"/>
    <w:basedOn w:val="11"/>
    <w:link w:val="5"/>
    <w:semiHidden/>
    <w:qFormat/>
    <w:locked/>
    <w:uiPriority w:val="99"/>
    <w:rPr>
      <w:rFonts w:eastAsia="仿宋_GB2312" w:cs="Times New Roman"/>
      <w:sz w:val="2"/>
    </w:rPr>
  </w:style>
  <w:style w:type="character" w:customStyle="1" w:styleId="19">
    <w:name w:val="Footer Char"/>
    <w:basedOn w:val="11"/>
    <w:link w:val="6"/>
    <w:semiHidden/>
    <w:qFormat/>
    <w:locked/>
    <w:uiPriority w:val="99"/>
    <w:rPr>
      <w:rFonts w:eastAsia="仿宋_GB2312" w:cs="Times New Roman"/>
      <w:sz w:val="18"/>
      <w:szCs w:val="18"/>
    </w:rPr>
  </w:style>
  <w:style w:type="character" w:customStyle="1" w:styleId="20">
    <w:name w:val="Header Char"/>
    <w:basedOn w:val="11"/>
    <w:link w:val="8"/>
    <w:semiHidden/>
    <w:qFormat/>
    <w:locked/>
    <w:uiPriority w:val="99"/>
    <w:rPr>
      <w:rFonts w:eastAsia="仿宋_GB2312" w:cs="Times New Roman"/>
      <w:sz w:val="18"/>
      <w:szCs w:val="18"/>
    </w:rPr>
  </w:style>
  <w:style w:type="character" w:customStyle="1" w:styleId="21">
    <w:name w:val="HTML Preformatted Char"/>
    <w:basedOn w:val="11"/>
    <w:link w:val="9"/>
    <w:semiHidden/>
    <w:qFormat/>
    <w:locked/>
    <w:uiPriority w:val="99"/>
    <w:rPr>
      <w:rFonts w:ascii="Courier New" w:hAnsi="Courier New" w:eastAsia="仿宋_GB2312" w:cs="Courier New"/>
      <w:sz w:val="20"/>
      <w:szCs w:val="20"/>
    </w:rPr>
  </w:style>
  <w:style w:type="character" w:customStyle="1" w:styleId="22">
    <w:name w:val="Body Text First Indent 2 Char"/>
    <w:basedOn w:val="17"/>
    <w:link w:val="7"/>
    <w:semiHidden/>
    <w:qFormat/>
    <w:locked/>
    <w:uiPriority w:val="99"/>
  </w:style>
  <w:style w:type="paragraph" w:customStyle="1" w:styleId="23">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3230</Words>
  <Characters>3374</Characters>
  <Lines>0</Lines>
  <Paragraphs>0</Paragraphs>
  <ScaleCrop>false</ScaleCrop>
  <LinksUpToDate>false</LinksUpToDate>
  <CharactersWithSpaces>3441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2023-03-10T01:08:00Z</dcterms:created>
  <dc:creator>小米</dc:creator>
  <cp:lastModifiedBy>Administrator</cp:lastModifiedBy>
  <cp:lastPrinted>2023-05-07T16:47:00Z</cp:lastPrinted>
  <dcterms:modified xsi:type="dcterms:W3CDTF">2024-09-29T07:48:15Z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2C9B41F1D9ABE875AA3AF166892EE34C</vt:lpwstr>
  </property>
</Properties>
</file>