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安农综〔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安溪县农业农村局关于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市级“一村一品”专业村建设工作的通知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各有关乡镇、项目建设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主体：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根据《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泉州市财政局 泉州市农业农村局关于下达2025年市级财政衔接推进乡村振兴补助资金（市级“一村一品”专业村）的通知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泉财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农指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〔202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号</w:t>
      </w:r>
      <w:r>
        <w:rPr>
          <w:rFonts w:hint="eastAsia" w:asci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文件精神，下达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我县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衔接推进乡村振兴补助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资金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用于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市级“</w:t>
      </w:r>
      <w:r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  <w:t>一村一品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  <w:t>专业村项目建设补助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款列“</w:t>
      </w:r>
      <w:r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2130599-其他巩固</w:t>
      </w:r>
      <w:r>
        <w:rPr>
          <w:rFonts w:hint="eastAsia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拓展</w:t>
      </w:r>
      <w:r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脱贫攻坚成果衔接乡村振兴支出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”科目，同步下达任务清单和绩效目标（详见附件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）。请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按照《</w:t>
      </w:r>
      <w:r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泉州市财政局泉州市农业农村局关于印发〈泉州市市级特色现代农业发展专项资金管理规定〉等3个专项资金管理规定的通知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》</w:t>
      </w:r>
      <w:r>
        <w:rPr>
          <w:rFonts w:hint="eastAsia" w:asci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泉财规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〔2024〕</w:t>
      </w:r>
      <w:r>
        <w:rPr>
          <w:rFonts w:hint="default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7号</w:t>
      </w:r>
      <w:r>
        <w:rPr>
          <w:rFonts w:hint="eastAsia" w:asci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及项目批复要求，组织项目建设，加强项目日常监管，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对偏离目标的项目采取措施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整改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，项目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采取先建后补方式，验收合格后给予资金拨付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。为进一步做好项目实施工作，现将有关事项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要求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jc w:val="left"/>
        <w:outlineLvl w:val="9"/>
        <w:rPr>
          <w:rFonts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b/>
          <w:bCs/>
          <w:spacing w:val="0"/>
          <w:sz w:val="32"/>
          <w:szCs w:val="32"/>
        </w:rPr>
        <w:t>.</w:t>
      </w:r>
      <w:r>
        <w:rPr>
          <w:rFonts w:hint="eastAsia" w:ascii="仿宋_GB2312" w:eastAsia="仿宋_GB2312" w:cs="仿宋_GB2312"/>
          <w:b/>
          <w:bCs/>
          <w:spacing w:val="0"/>
          <w:sz w:val="32"/>
          <w:szCs w:val="32"/>
        </w:rPr>
        <w:t>严格项目管理。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建设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主体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要严格</w:t>
      </w:r>
      <w:r>
        <w:rPr>
          <w:rFonts w:hint="eastAsia" w:ascii="仿宋" w:eastAsia="仿宋" w:cs="仿宋"/>
          <w:spacing w:val="0"/>
          <w:sz w:val="32"/>
          <w:szCs w:val="32"/>
        </w:rPr>
        <w:t>按照批复组织</w:t>
      </w:r>
      <w:r>
        <w:rPr>
          <w:rFonts w:hint="eastAsia" w:ascii="仿宋" w:eastAsia="仿宋" w:cs="仿宋"/>
          <w:spacing w:val="0"/>
          <w:sz w:val="32"/>
          <w:szCs w:val="32"/>
          <w:lang w:eastAsia="zh-CN"/>
        </w:rPr>
        <w:t>项目</w:t>
      </w:r>
      <w:r>
        <w:rPr>
          <w:rFonts w:hint="eastAsia" w:ascii="仿宋" w:eastAsia="仿宋" w:cs="仿宋"/>
          <w:spacing w:val="0"/>
          <w:sz w:val="32"/>
          <w:szCs w:val="32"/>
        </w:rPr>
        <w:t>实施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，自筹资金足额投入，确保项目按时完成建设。严禁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擅自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变更、调整建设内容。如发现擅自调减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、变更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项目建设内容、工程质量未达到要求等行为的，将不予验收并取消项目实施资格。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outlineLvl w:val="9"/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ascii="楷体_GB2312" w:eastAsia="楷体_GB2312" w:cs="楷体_GB2312"/>
          <w:b/>
          <w:bCs/>
          <w:spacing w:val="0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</w:rPr>
        <w:t>建立财务专账。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各项目建设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主体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要建立项目支出专账，配合第三方进行财务审计，审计报告作为项目验收的财务依据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outlineLvl w:val="9"/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ascii="楷体_GB2312" w:eastAsia="楷体_GB2312" w:cs="楷体_GB2312"/>
          <w:b/>
          <w:bCs/>
          <w:spacing w:val="0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</w:rPr>
        <w:t>做好资料整理。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各建设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要指定专职人员，负责项目资料归档整理工作。一是收集项目建设前后的现场对比照片；二是做好项目工作总结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outlineLvl w:val="9"/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ascii="楷体_GB2312" w:eastAsia="楷体_GB2312" w:cs="楷体_GB2312"/>
          <w:b/>
          <w:bCs/>
          <w:spacing w:val="0"/>
          <w:kern w:val="0"/>
          <w:sz w:val="32"/>
          <w:szCs w:val="32"/>
        </w:rPr>
        <w:t>.</w:t>
      </w:r>
      <w:r>
        <w:rPr>
          <w:rFonts w:hint="eastAsia" w:ascii="楷体_GB2312" w:eastAsia="楷体_GB2312" w:cs="楷体_GB2312"/>
          <w:b/>
          <w:bCs/>
          <w:spacing w:val="0"/>
          <w:kern w:val="0"/>
          <w:sz w:val="32"/>
          <w:szCs w:val="32"/>
        </w:rPr>
        <w:t>项目验收程序。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财政补助资金实行先建后补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各项目建设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在项目实施完成后，向县农业农村局提</w:t>
      </w:r>
      <w:bookmarkStart w:id="0" w:name="_GoBack"/>
      <w:bookmarkEnd w:id="0"/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出验收申请，县农业农村局组织相关人员对项目进行现场验收，验收合格后按有关程序拨付财政补助资金。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建设主体需配合提交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验收材料，包括：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outlineLvl w:val="9"/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）项目申请验收报告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、自验收情况、项目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建设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总结（含施工过程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照片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outlineLvl w:val="9"/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）项目支出的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正式发票、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转账凭证及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合同，经招投标的项目还需提供设计、预算书、招标文书、中标通知书、结算审核报告等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财务审计报告。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outlineLvl w:val="9"/>
        <w:rPr>
          <w:rFonts w:hint="eastAsia" w:eastAsia="仿宋_GB2312"/>
          <w:spacing w:val="0"/>
          <w:lang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）承诺书，须承诺本项目实施的建设内容与其他财政补助项目不重复、不多头申报财政补助项目。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以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上验收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材料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需提交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电子文档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和纸质材料（加盖建设主体公章、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一式</w:t>
      </w:r>
      <w:r>
        <w:rPr>
          <w:rFonts w:ascii="仿宋_GB2312" w:eastAsia="仿宋_GB2312" w:cs="仿宋_GB2312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份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color="auto" w:fill="FFFFFF"/>
        </w:rPr>
        <w:t>报送至县农业农村局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6" w:firstLineChars="200"/>
        <w:jc w:val="left"/>
        <w:outlineLvl w:val="9"/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附件：1.202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市级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“一村一品”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村项目建设任务清单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540" w:firstLineChars="500"/>
        <w:jc w:val="left"/>
        <w:outlineLvl w:val="9"/>
        <w:rPr>
          <w:rFonts w:hint="eastAsia" w:ascii="仿宋_GB2312" w:hAnsi="仿宋_GB2312" w:eastAsia="仿宋_GB2312" w:cs="仿宋_GB2312"/>
          <w:color w:val="0000FF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市级“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一村一品”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  <w:lang w:eastAsia="zh-CN"/>
        </w:rPr>
        <w:t>专业</w:t>
      </w:r>
      <w:r>
        <w:rPr>
          <w:rFonts w:hint="eastAsia" w:ascii="仿宋_GB2312" w:eastAsia="仿宋_GB2312" w:cs="仿宋_GB2312"/>
          <w:spacing w:val="-6"/>
          <w:sz w:val="32"/>
          <w:szCs w:val="32"/>
          <w:shd w:val="clear" w:color="auto" w:fill="FFFFFF"/>
        </w:rPr>
        <w:t>村项目资金绩效目标表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600" w:firstLineChars="500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outlineLvl w:val="9"/>
        <w:rPr>
          <w:rFonts w:ascii="仿宋_GB2312" w:hAnsi="仿宋_GB2312" w:eastAsia="仿宋_GB2312" w:cs="Times New Roman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74" w:bottom="1588" w:left="147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812"/>
        </w:tabs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tabs>
          <w:tab w:val="left" w:pos="812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“一村一品”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村项目建设任务清单</w:t>
      </w:r>
    </w:p>
    <w:tbl>
      <w:tblPr>
        <w:tblStyle w:val="10"/>
        <w:tblpPr w:leftFromText="181" w:rightFromText="181" w:vertAnchor="text" w:horzAnchor="page" w:tblpXSpec="center" w:tblpY="171"/>
        <w:tblOverlap w:val="never"/>
        <w:tblW w:w="14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33"/>
        <w:gridCol w:w="1175"/>
        <w:gridCol w:w="1080"/>
        <w:gridCol w:w="1008"/>
        <w:gridCol w:w="1971"/>
        <w:gridCol w:w="5685"/>
        <w:gridCol w:w="1140"/>
        <w:gridCol w:w="1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县（市、区）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乡（镇）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主导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产业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建设主体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安溪县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湖东村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铁观音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安溪县虎邱镇湖东村民委员会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购置烘焙机4台、揉捻机4台、杀青机4台、摇青机4台、凉青架、做青空调等茶叶初制加工设备及供电配电设施线路建设。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尚卿镇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科山村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蛋鸡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福建省安溪县巴隆养殖有限公司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雏鸡养殖生产线五条，包含鸡笼、自动喂料机设备等。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祥华乡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旧寨村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铁观音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安溪县祥华隆厚福茶业有限公司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购置茶叶做青空调2台，茶架16个，竹筛250个，摇青机3台，杀青机2台，烘干机6台，速包机2台，平板机4台，过火机2台，揉捻机2台，打散机1台，筛沫机1台、茶叶专业审评台1个等茶叶制作设备及建设茶叶冻库25立方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20.3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芦田镇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鸿都村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乌龙茶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芦田镇鸿都村民委员会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鸿都村旺头格角落机耕路建设，长450米、宽3米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汤头村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湖头米粉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安溪县乡味粮食加工专业合作社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油压米粉机2台、不锈钢网链机2台、蒸柜2台、电锅2台和搅粿机2台及晾晒架等米粉制作设备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20.5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101.8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5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436" w:charSpace="0"/>
        </w:sectPr>
      </w:pPr>
    </w:p>
    <w:p>
      <w:pPr>
        <w:tabs>
          <w:tab w:val="left" w:pos="812"/>
        </w:tabs>
        <w:ind w:left="960" w:hanging="960" w:hangingChars="300"/>
        <w:jc w:val="left"/>
        <w:rPr>
          <w:rFonts w:hint="eastAsia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2025年市级“一村一品”专业村项目资金绩效目标表</w:t>
      </w:r>
    </w:p>
    <w:tbl>
      <w:tblPr>
        <w:tblStyle w:val="10"/>
        <w:tblW w:w="15277" w:type="dxa"/>
        <w:tblInd w:w="-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263"/>
        <w:gridCol w:w="1386"/>
        <w:gridCol w:w="2093"/>
        <w:gridCol w:w="2692"/>
        <w:gridCol w:w="1406"/>
        <w:gridCol w:w="1315"/>
        <w:gridCol w:w="1424"/>
        <w:gridCol w:w="13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年市级财政衔接推进乡村振兴补助资金（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“一村一品”专业村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4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422001-泉州市农业农村局（行政）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补助项目/区域</w:t>
            </w:r>
          </w:p>
        </w:tc>
        <w:tc>
          <w:tcPr>
            <w:tcW w:w="5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虎邱镇、尚卿镇、祥华乡、芦田镇、湖头镇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专项资金情况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8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12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其它乡村振兴建设补助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指标方向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计量单位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经济成本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扶持金额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财政预算安排资金金额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扶持数量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带动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镇、村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大于等于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补助对象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准度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扶持对象是否符合资金管理办法规定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资金使用率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资金100%及时补助项目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农业增产增效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促进区域农业增产增效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显著改善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满意度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考察群众满意度情况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正向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大于等于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>
      <w:pPr>
        <w:sectPr>
          <w:headerReference r:id="rId6" w:type="default"/>
          <w:footerReference r:id="rId7" w:type="default"/>
          <w:pgSz w:w="16838" w:h="11906" w:orient="landscape"/>
          <w:pgMar w:top="1474" w:right="1701" w:bottom="147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12"/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jc w:val="left"/>
        <w:rPr>
          <w:rFonts w:ascii="黑体" w:hAnsi="黑体" w:eastAsia="黑体" w:cs="仿宋"/>
          <w:snapToGrid w:val="0"/>
          <w:kern w:val="0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pict>
          <v:line id="_x0000_s1027" o:spid="_x0000_s1027" o:spt="20" style="position:absolute;left:0pt;margin-left:-0.2pt;margin-top:30.65pt;height:0pt;width:446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w:pict>
          <v:line id="_x0000_s1028" o:spid="_x0000_s1028" o:spt="20" style="position:absolute;left:0pt;margin-left:0pt;margin-top:31.4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</w:rPr>
      </w:pPr>
    </w:p>
    <w:sectPr>
      <w:pgSz w:w="11906" w:h="16838"/>
      <w:pgMar w:top="1701" w:right="1474" w:bottom="1587" w:left="147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9"/>
                    <w:rFonts w:ascii="宋体" w:cs="宋体"/>
                    <w:sz w:val="28"/>
                    <w:szCs w:val="28"/>
                  </w:rPr>
                </w:pP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仿宋_GB2312" w:eastAsia="仿宋_GB2312"/>
        <w:sz w:val="28"/>
        <w:szCs w:val="28"/>
      </w:rPr>
    </w:pPr>
    <w:r>
      <w:pict>
        <v:shape id="文本框 3" o:spid="_x0000_s2049" o:spt="202" type="#_x0000_t202" style="position:absolute;left:0pt;margin-top:0pt;height:20.75pt;width:61.05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wordWrap w:val="0"/>
                  <w:jc w:val="right"/>
                </w:pPr>
                <w:r>
                  <w:rPr>
                    <w:rStyle w:val="9"/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32"/>
                    <w:szCs w:val="32"/>
                  </w:rPr>
                  <w:instrText xml:space="preserve"> PAGE </w:instrText>
                </w:r>
                <w:r>
                  <w:rPr>
                    <w:rStyle w:val="9"/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32"/>
                    <w:szCs w:val="32"/>
                  </w:rPr>
                  <w:t>- 4 -</w:t>
                </w:r>
                <w:r>
                  <w:rPr>
                    <w:rStyle w:val="9"/>
                    <w:rFonts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Style w:val="9"/>
                    <w:rFonts w:ascii="仿宋_GB2312" w:eastAsia="仿宋_GB2312" w:cs="Calibri"/>
                    <w:sz w:val="28"/>
                    <w:szCs w:val="28"/>
                  </w:rPr>
                  <w:t xml:space="preserve"> 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6A5A5ABA"/>
    <w:rsid w:val="00114B61"/>
    <w:rsid w:val="00133884"/>
    <w:rsid w:val="00220004"/>
    <w:rsid w:val="00300552"/>
    <w:rsid w:val="00313CFD"/>
    <w:rsid w:val="003A714E"/>
    <w:rsid w:val="003B5A4E"/>
    <w:rsid w:val="003E44AD"/>
    <w:rsid w:val="004239D0"/>
    <w:rsid w:val="00427B68"/>
    <w:rsid w:val="004607E5"/>
    <w:rsid w:val="004D50E4"/>
    <w:rsid w:val="00506F8C"/>
    <w:rsid w:val="005864C4"/>
    <w:rsid w:val="00611AB0"/>
    <w:rsid w:val="006953D5"/>
    <w:rsid w:val="006E3BFE"/>
    <w:rsid w:val="0074384A"/>
    <w:rsid w:val="007B4BD7"/>
    <w:rsid w:val="007D59E3"/>
    <w:rsid w:val="008825B3"/>
    <w:rsid w:val="0088335F"/>
    <w:rsid w:val="008C6206"/>
    <w:rsid w:val="008F3C08"/>
    <w:rsid w:val="00921D4D"/>
    <w:rsid w:val="009C3518"/>
    <w:rsid w:val="009D371C"/>
    <w:rsid w:val="00AE162A"/>
    <w:rsid w:val="00AF39B7"/>
    <w:rsid w:val="00BE4211"/>
    <w:rsid w:val="00C07491"/>
    <w:rsid w:val="00C514F2"/>
    <w:rsid w:val="00C60733"/>
    <w:rsid w:val="00CA76EF"/>
    <w:rsid w:val="00CD5740"/>
    <w:rsid w:val="00CD7271"/>
    <w:rsid w:val="00F7018C"/>
    <w:rsid w:val="00FE30A5"/>
    <w:rsid w:val="075E3122"/>
    <w:rsid w:val="0C005FE6"/>
    <w:rsid w:val="119D6B7B"/>
    <w:rsid w:val="1B82504B"/>
    <w:rsid w:val="1E93308D"/>
    <w:rsid w:val="1FFD5D49"/>
    <w:rsid w:val="251B5777"/>
    <w:rsid w:val="29235B3A"/>
    <w:rsid w:val="2F6A44C2"/>
    <w:rsid w:val="313860F9"/>
    <w:rsid w:val="35B011A0"/>
    <w:rsid w:val="39FB388C"/>
    <w:rsid w:val="3A72678F"/>
    <w:rsid w:val="3E0F324F"/>
    <w:rsid w:val="3E145C3F"/>
    <w:rsid w:val="45843E6C"/>
    <w:rsid w:val="5AB50438"/>
    <w:rsid w:val="63D74F98"/>
    <w:rsid w:val="646C5AF7"/>
    <w:rsid w:val="67536650"/>
    <w:rsid w:val="6A5A5ABA"/>
    <w:rsid w:val="6B9B315A"/>
    <w:rsid w:val="6C1C6A7E"/>
    <w:rsid w:val="70866545"/>
    <w:rsid w:val="710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next w:val="1"/>
    <w:link w:val="1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Body Text Char"/>
    <w:basedOn w:val="8"/>
    <w:link w:val="5"/>
    <w:semiHidden/>
    <w:qFormat/>
    <w:uiPriority w:val="99"/>
    <w:rPr>
      <w:rFonts w:cs="Calibri"/>
      <w:szCs w:val="21"/>
    </w:rPr>
  </w:style>
  <w:style w:type="character" w:customStyle="1" w:styleId="14">
    <w:name w:val="Footer Char"/>
    <w:basedOn w:val="8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5">
    <w:name w:val="Header Char"/>
    <w:basedOn w:val="8"/>
    <w:link w:val="7"/>
    <w:semiHidden/>
    <w:qFormat/>
    <w:locked/>
    <w:uiPriority w:val="99"/>
    <w:rPr>
      <w:rFonts w:cs="Calibri"/>
      <w:sz w:val="18"/>
      <w:szCs w:val="18"/>
    </w:rPr>
  </w:style>
  <w:style w:type="paragraph" w:customStyle="1" w:styleId="16">
    <w:name w:val="Other|1"/>
    <w:basedOn w:val="1"/>
    <w:qFormat/>
    <w:uiPriority w:val="99"/>
    <w:rPr>
      <w:rFonts w:ascii="宋体" w:hAnsi="宋体" w:cs="宋体"/>
      <w:lang w:val="zh-TW" w:eastAsia="zh-TW"/>
    </w:rPr>
  </w:style>
  <w:style w:type="paragraph" w:customStyle="1" w:styleId="17">
    <w:name w:val="Heading #2|1"/>
    <w:basedOn w:val="1"/>
    <w:qFormat/>
    <w:uiPriority w:val="99"/>
    <w:pPr>
      <w:spacing w:after="410"/>
      <w:jc w:val="center"/>
      <w:outlineLvl w:val="1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18">
    <w:name w:val="Other|2"/>
    <w:basedOn w:val="1"/>
    <w:qFormat/>
    <w:uiPriority w:val="99"/>
    <w:pPr>
      <w:jc w:val="center"/>
    </w:pPr>
    <w:rPr>
      <w:rFonts w:ascii="宋体" w:hAnsi="宋体" w:cs="宋体"/>
      <w:lang w:val="zh-TW" w:eastAsia="zh-TW"/>
    </w:rPr>
  </w:style>
  <w:style w:type="paragraph" w:customStyle="1" w:styleId="19">
    <w:name w:val="Header or footer|1"/>
    <w:basedOn w:val="1"/>
    <w:qFormat/>
    <w:uiPriority w:val="99"/>
    <w:rPr>
      <w:sz w:val="26"/>
      <w:szCs w:val="26"/>
      <w:lang w:val="zh-TW" w:eastAsia="zh-TW"/>
    </w:rPr>
  </w:style>
  <w:style w:type="paragraph" w:customStyle="1" w:styleId="20">
    <w:name w:val="BodyTextIndent2"/>
    <w:basedOn w:val="1"/>
    <w:qFormat/>
    <w:locked/>
    <w:uiPriority w:val="0"/>
    <w:pPr>
      <w:spacing w:line="480" w:lineRule="auto"/>
      <w:ind w:left="420" w:leftChars="200"/>
      <w:textAlignment w:val="baseline"/>
    </w:pPr>
    <w:rPr>
      <w:rFonts w:ascii="Times New Roman" w:hAnsi="Times New Roman" w:eastAsia="仿宋_GB2312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 textRotate="1"/>
    <customShpInfo spid="_x0000_s2051" textRotate="1"/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6</Pages>
  <Words>1810</Words>
  <Characters>1908</Characters>
  <Lines>0</Lines>
  <Paragraphs>0</Paragraphs>
  <TotalTime>0</TotalTime>
  <ScaleCrop>false</ScaleCrop>
  <LinksUpToDate>false</LinksUpToDate>
  <CharactersWithSpaces>1938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2025-07-17T08:34:00Z</cp:lastPrinted>
  <dcterms:modified xsi:type="dcterms:W3CDTF">2025-07-28T02:08:04Z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BCF9C113D76A4CA0BD3058CA500E75B7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