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line="576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76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2024民生领域案件查办“铁拳”行动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典型案件报送目录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spacing w:line="576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</w:rPr>
        <w:t>市场监管所                 填报周期：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</w:p>
    <w:p>
      <w:pPr>
        <w:spacing w:line="10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975"/>
        <w:gridCol w:w="1326"/>
        <w:gridCol w:w="1270"/>
        <w:gridCol w:w="1350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案件名称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案值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罚没金额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是否移送（是</w:t>
            </w:r>
            <w:r>
              <w:rPr>
                <w:rFonts w:eastAsia="黑体"/>
                <w:color w:val="000000"/>
                <w:kern w:val="0"/>
                <w:sz w:val="24"/>
              </w:rPr>
              <w:t>/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××（单位）查处××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（当事人）××（案由）案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...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...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...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...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说明：1.案件名称格式：××（单位）查处××（当事人）××（案由）案；</w:t>
      </w:r>
    </w:p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2.案件类型：参照附件3。</w:t>
      </w:r>
    </w:p>
    <w:p>
      <w:pPr>
        <w:pStyle w:val="3"/>
        <w:autoSpaceDE w:val="0"/>
        <w:spacing w:line="1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2"/>
        <w:spacing w:line="5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AC6"/>
    <w:rsid w:val="002B3C2E"/>
    <w:rsid w:val="006545F7"/>
    <w:rsid w:val="00674375"/>
    <w:rsid w:val="0077279B"/>
    <w:rsid w:val="00B87AC6"/>
    <w:rsid w:val="76C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</w:style>
  <w:style w:type="paragraph" w:styleId="3">
    <w:name w:val="endnote text"/>
    <w:basedOn w:val="1"/>
    <w:link w:val="10"/>
    <w:qFormat/>
    <w:uiPriority w:val="0"/>
    <w:pPr>
      <w:snapToGrid w:val="0"/>
      <w:jc w:val="left"/>
    </w:pPr>
  </w:style>
  <w:style w:type="paragraph" w:styleId="4">
    <w:name w:val="Balloon Text"/>
    <w:basedOn w:val="1"/>
    <w:next w:val="3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尾注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2024-03-12T00:23:00Z</dcterms:created>
  <dc:creator>陈媛媛</dc:creator>
  <cp:lastModifiedBy>林聪艺</cp:lastModifiedBy>
  <dcterms:modified xsi:type="dcterms:W3CDTF">2024-03-26T07:30:30Z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