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399" w:type="dxa"/>
        <w:jc w:val="center"/>
        <w:tblLayout w:type="fixed"/>
        <w:tblCellMar>
          <w:top w:w="0" w:type="dxa"/>
          <w:left w:w="108" w:type="dxa"/>
          <w:bottom w:w="0" w:type="dxa"/>
          <w:right w:w="108" w:type="dxa"/>
        </w:tblCellMar>
      </w:tblPr>
      <w:tblGrid>
        <w:gridCol w:w="7713"/>
        <w:gridCol w:w="1686"/>
      </w:tblGrid>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ascii="仿宋_GB2312" w:hAnsi="仿宋_GB2312" w:eastAsia="方正小标宋简体"/>
                <w:b/>
                <w:bCs/>
                <w:color w:val="FF0000"/>
                <w:spacing w:val="-20"/>
                <w:w w:val="80"/>
                <w:sz w:val="74"/>
                <w:szCs w:val="74"/>
              </w:rPr>
            </w:pPr>
            <w:r>
              <w:rPr>
                <w:rFonts w:hint="eastAsia" w:ascii="仿宋_GB2312" w:hAnsi="仿宋_GB2312" w:eastAsia="方正小标宋简体"/>
                <w:b/>
                <w:bCs/>
                <w:color w:val="FF0000"/>
                <w:spacing w:val="-20"/>
                <w:w w:val="80"/>
                <w:sz w:val="74"/>
                <w:szCs w:val="74"/>
              </w:rPr>
              <w:t>安溪县</w:t>
            </w:r>
            <w:r>
              <w:rPr>
                <w:rFonts w:hint="eastAsia" w:ascii="仿宋_GB2312" w:hAnsi="仿宋_GB2312" w:eastAsia="方正小标宋简体"/>
                <w:b/>
                <w:bCs/>
                <w:color w:val="FF0000"/>
                <w:spacing w:val="-20"/>
                <w:w w:val="80"/>
                <w:sz w:val="74"/>
                <w:szCs w:val="74"/>
                <w:lang w:eastAsia="zh-CN"/>
              </w:rPr>
              <w:t>退役军人事务</w:t>
            </w:r>
            <w:r>
              <w:rPr>
                <w:rFonts w:hint="eastAsia" w:ascii="仿宋_GB2312" w:hAnsi="仿宋_GB2312" w:eastAsia="方正小标宋简体"/>
                <w:b/>
                <w:bCs/>
                <w:color w:val="FF0000"/>
                <w:spacing w:val="-20"/>
                <w:w w:val="80"/>
                <w:sz w:val="74"/>
                <w:szCs w:val="74"/>
              </w:rPr>
              <w:t>局</w:t>
            </w:r>
          </w:p>
        </w:tc>
        <w:tc>
          <w:tcPr>
            <w:tcW w:w="1686" w:type="dxa"/>
            <w:vMerge w:val="restart"/>
            <w:tcBorders>
              <w:top w:val="nil"/>
              <w:left w:val="nil"/>
              <w:right w:val="nil"/>
            </w:tcBorders>
            <w:vAlign w:val="center"/>
          </w:tcPr>
          <w:p>
            <w:pPr>
              <w:keepNext w:val="0"/>
              <w:keepLines w:val="0"/>
              <w:pageBreakBefore w:val="0"/>
              <w:kinsoku/>
              <w:wordWrap/>
              <w:overflowPunct/>
              <w:topLinePunct w:val="0"/>
              <w:autoSpaceDE/>
              <w:autoSpaceDN/>
              <w:bidi w:val="0"/>
              <w:adjustRightInd w:val="0"/>
              <w:snapToGrid w:val="0"/>
              <w:spacing w:line="800" w:lineRule="exact"/>
              <w:jc w:val="center"/>
              <w:textAlignment w:val="auto"/>
              <w:rPr>
                <w:rFonts w:ascii="仿宋_GB2312" w:hAnsi="仿宋_GB2312" w:eastAsia="华文中宋" w:cs="Times New Roman"/>
                <w:color w:val="FF0000"/>
                <w:spacing w:val="-20"/>
                <w:w w:val="80"/>
                <w:sz w:val="74"/>
                <w:szCs w:val="74"/>
              </w:rPr>
            </w:pPr>
            <w:r>
              <w:rPr>
                <w:rFonts w:hint="eastAsia" w:ascii="仿宋_GB2312" w:hAnsi="仿宋_GB2312" w:eastAsia="方正小标宋简体"/>
                <w:b/>
                <w:bCs/>
                <w:color w:val="FF0000"/>
                <w:spacing w:val="-20"/>
                <w:w w:val="80"/>
                <w:sz w:val="74"/>
                <w:szCs w:val="74"/>
              </w:rPr>
              <w:t>文件</w:t>
            </w:r>
          </w:p>
        </w:tc>
      </w:tr>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tabs>
                <w:tab w:val="left" w:pos="4110"/>
              </w:tabs>
              <w:kinsoku/>
              <w:wordWrap/>
              <w:overflowPunct/>
              <w:topLinePunct w:val="0"/>
              <w:autoSpaceDE/>
              <w:autoSpaceDN/>
              <w:bidi w:val="0"/>
              <w:adjustRightInd w:val="0"/>
              <w:snapToGrid/>
              <w:spacing w:line="240" w:lineRule="auto"/>
              <w:jc w:val="distribute"/>
              <w:textAlignment w:val="auto"/>
              <w:rPr>
                <w:rFonts w:ascii="仿宋_GB2312" w:hAnsi="仿宋_GB2312" w:eastAsia="方正小标宋简体"/>
                <w:b/>
                <w:bCs/>
                <w:color w:val="FF0000"/>
                <w:w w:val="80"/>
                <w:sz w:val="74"/>
                <w:szCs w:val="74"/>
              </w:rPr>
            </w:pPr>
            <w:r>
              <w:rPr>
                <w:rFonts w:hint="eastAsia" w:ascii="仿宋_GB2312" w:hAnsi="仿宋_GB2312" w:eastAsia="方正小标宋简体"/>
                <w:b/>
                <w:bCs/>
                <w:color w:val="FF0000"/>
                <w:w w:val="80"/>
                <w:sz w:val="74"/>
                <w:szCs w:val="74"/>
                <w:lang w:eastAsia="zh-CN"/>
              </w:rPr>
              <w:t>安溪县</w:t>
            </w:r>
            <w:r>
              <w:rPr>
                <w:rFonts w:hint="eastAsia" w:ascii="仿宋_GB2312" w:hAnsi="仿宋_GB2312" w:eastAsia="方正小标宋简体"/>
                <w:b/>
                <w:bCs/>
                <w:color w:val="FF0000"/>
                <w:w w:val="80"/>
                <w:sz w:val="74"/>
                <w:szCs w:val="74"/>
              </w:rPr>
              <w:t>财政局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ascii="仿宋_GB2312" w:hAnsi="仿宋_GB2312" w:eastAsia="华文中宋" w:cs="Times New Roman"/>
                <w:color w:val="FF0000"/>
                <w:spacing w:val="-20"/>
                <w:w w:val="80"/>
                <w:sz w:val="74"/>
                <w:szCs w:val="74"/>
              </w:rPr>
            </w:pPr>
          </w:p>
        </w:tc>
      </w:tr>
      <w:tr>
        <w:tblPrEx>
          <w:tblCellMar>
            <w:top w:w="0" w:type="dxa"/>
            <w:left w:w="108" w:type="dxa"/>
            <w:bottom w:w="0" w:type="dxa"/>
            <w:right w:w="108" w:type="dxa"/>
          </w:tblCellMar>
        </w:tblPrEx>
        <w:trPr>
          <w:trHeight w:val="1161"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eastAsia" w:ascii="仿宋_GB2312" w:hAnsi="仿宋_GB2312" w:eastAsia="方正小标宋简体"/>
                <w:b/>
                <w:bCs/>
                <w:color w:val="FF0000"/>
                <w:w w:val="80"/>
                <w:sz w:val="74"/>
                <w:szCs w:val="74"/>
                <w:lang w:eastAsia="zh-CN"/>
              </w:rPr>
            </w:pPr>
            <w:r>
              <w:rPr>
                <w:rFonts w:hint="eastAsia" w:ascii="仿宋_GB2312" w:hAnsi="仿宋_GB2312" w:eastAsia="方正小标宋简体"/>
                <w:b/>
                <w:bCs/>
                <w:color w:val="FF0000"/>
                <w:w w:val="80"/>
                <w:sz w:val="70"/>
                <w:szCs w:val="70"/>
                <w:lang w:eastAsia="zh-CN"/>
              </w:rPr>
              <w:t>安溪县人力资源和社会保障局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ascii="仿宋_GB2312" w:hAnsi="仿宋_GB2312" w:eastAsia="华文中宋" w:cs="Times New Roman"/>
                <w:color w:val="FF0000"/>
                <w:spacing w:val="-20"/>
                <w:w w:val="80"/>
                <w:sz w:val="74"/>
                <w:szCs w:val="74"/>
              </w:rPr>
            </w:pPr>
          </w:p>
        </w:tc>
      </w:tr>
      <w:tr>
        <w:tblPrEx>
          <w:tblCellMar>
            <w:top w:w="0" w:type="dxa"/>
            <w:left w:w="108" w:type="dxa"/>
            <w:bottom w:w="0" w:type="dxa"/>
            <w:right w:w="108" w:type="dxa"/>
          </w:tblCellMar>
        </w:tblPrEx>
        <w:trPr>
          <w:trHeight w:val="2324" w:hRule="atLeast"/>
          <w:jc w:val="center"/>
        </w:trPr>
        <w:tc>
          <w:tcPr>
            <w:tcW w:w="7713"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eastAsia" w:ascii="仿宋_GB2312" w:hAnsi="仿宋_GB2312" w:eastAsia="方正小标宋简体"/>
                <w:b/>
                <w:bCs/>
                <w:color w:val="FF0000"/>
                <w:w w:val="80"/>
                <w:sz w:val="74"/>
                <w:szCs w:val="74"/>
                <w:lang w:eastAsia="zh-CN"/>
              </w:rPr>
            </w:pPr>
            <w:r>
              <w:rPr>
                <w:rFonts w:hint="eastAsia" w:ascii="仿宋_GB2312" w:hAnsi="仿宋_GB2312" w:eastAsia="方正小标宋简体"/>
                <w:b/>
                <w:bCs/>
                <w:color w:val="FF0000"/>
                <w:w w:val="80"/>
                <w:sz w:val="74"/>
                <w:szCs w:val="74"/>
                <w:lang w:eastAsia="zh-CN"/>
              </w:rPr>
              <w:t>安溪县卫生健康局</w:t>
            </w:r>
          </w:p>
          <w:p>
            <w:pPr>
              <w:keepNext w:val="0"/>
              <w:keepLines w:val="0"/>
              <w:pageBreakBefore w:val="0"/>
              <w:widowControl w:val="0"/>
              <w:kinsoku/>
              <w:wordWrap/>
              <w:overflowPunct/>
              <w:topLinePunct w:val="0"/>
              <w:autoSpaceDE/>
              <w:autoSpaceDN/>
              <w:bidi w:val="0"/>
              <w:adjustRightInd w:val="0"/>
              <w:snapToGrid/>
              <w:spacing w:line="240" w:lineRule="auto"/>
              <w:jc w:val="distribute"/>
              <w:textAlignment w:val="auto"/>
              <w:rPr>
                <w:rFonts w:hint="eastAsia" w:ascii="仿宋_GB2312" w:hAnsi="仿宋_GB2312" w:eastAsia="方正小标宋简体"/>
                <w:b/>
                <w:bCs/>
                <w:color w:val="FF0000"/>
                <w:w w:val="80"/>
                <w:sz w:val="74"/>
                <w:szCs w:val="74"/>
                <w:lang w:eastAsia="zh-CN"/>
              </w:rPr>
            </w:pPr>
            <w:r>
              <w:rPr>
                <w:rFonts w:hint="eastAsia" w:ascii="仿宋_GB2312" w:hAnsi="仿宋_GB2312" w:eastAsia="方正小标宋简体"/>
                <w:b/>
                <w:bCs/>
                <w:color w:val="FF0000"/>
                <w:w w:val="80"/>
                <w:sz w:val="74"/>
                <w:szCs w:val="74"/>
                <w:lang w:eastAsia="zh-CN"/>
              </w:rPr>
              <w:t>泉州市医疗保障局安溪分</w:t>
            </w:r>
            <w:r>
              <w:rPr>
                <w:rFonts w:hint="eastAsia" w:ascii="仿宋_GB2312" w:hAnsi="仿宋_GB2312" w:eastAsia="方正小标宋简体"/>
                <w:b/>
                <w:bCs/>
                <w:color w:val="FF0000"/>
                <w:w w:val="80"/>
                <w:sz w:val="74"/>
                <w:szCs w:val="74"/>
              </w:rPr>
              <w:t>局</w:t>
            </w:r>
          </w:p>
        </w:tc>
        <w:tc>
          <w:tcPr>
            <w:tcW w:w="1686" w:type="dxa"/>
            <w:vMerge w:val="continue"/>
            <w:tcBorders>
              <w:left w:val="nil"/>
              <w:right w:val="nil"/>
            </w:tcBorders>
            <w:vAlign w:val="center"/>
          </w:tcPr>
          <w:p>
            <w:pPr>
              <w:keepNext w:val="0"/>
              <w:keepLines w:val="0"/>
              <w:pageBreakBefore w:val="0"/>
              <w:widowControl/>
              <w:kinsoku/>
              <w:wordWrap/>
              <w:overflowPunct/>
              <w:topLinePunct w:val="0"/>
              <w:autoSpaceDE/>
              <w:autoSpaceDN/>
              <w:bidi w:val="0"/>
              <w:snapToGrid w:val="0"/>
              <w:spacing w:line="800" w:lineRule="exact"/>
              <w:jc w:val="left"/>
              <w:textAlignment w:val="auto"/>
              <w:rPr>
                <w:rFonts w:ascii="仿宋_GB2312" w:hAnsi="仿宋_GB2312" w:eastAsia="华文中宋" w:cs="Times New Roman"/>
                <w:color w:val="FF0000"/>
                <w:spacing w:val="-20"/>
                <w:w w:val="80"/>
                <w:sz w:val="74"/>
                <w:szCs w:val="74"/>
              </w:rPr>
            </w:pPr>
          </w:p>
        </w:tc>
      </w:tr>
    </w:tbl>
    <w:p>
      <w:pPr>
        <w:spacing w:before="99" w:line="222" w:lineRule="auto"/>
        <w:ind w:left="2499"/>
        <w:rPr>
          <w:rFonts w:hint="eastAsia" w:ascii="仿宋" w:hAnsi="仿宋" w:eastAsia="仿宋" w:cs="仿宋"/>
          <w:spacing w:val="18"/>
          <w:sz w:val="30"/>
          <w:szCs w:val="30"/>
          <w:lang w:eastAsia="zh-CN"/>
        </w:rPr>
      </w:pPr>
    </w:p>
    <w:p>
      <w:pPr>
        <w:spacing w:before="99" w:line="222" w:lineRule="auto"/>
        <w:ind w:left="2499"/>
        <w:rPr>
          <w:rFonts w:ascii="Arial"/>
          <w:spacing w:val="0"/>
          <w:sz w:val="21"/>
        </w:rPr>
      </w:pPr>
      <w:r>
        <w:rPr>
          <w:rFonts w:hint="eastAsia" w:ascii="仿宋" w:hAnsi="仿宋" w:eastAsia="仿宋" w:cs="仿宋"/>
          <w:spacing w:val="0"/>
          <w:sz w:val="30"/>
          <w:szCs w:val="30"/>
          <w:lang w:eastAsia="zh-CN"/>
        </w:rPr>
        <w:t>安</w:t>
      </w:r>
      <w:r>
        <w:rPr>
          <w:rFonts w:ascii="仿宋" w:hAnsi="仿宋" w:eastAsia="仿宋" w:cs="仿宋"/>
          <w:spacing w:val="0"/>
          <w:sz w:val="30"/>
          <w:szCs w:val="30"/>
        </w:rPr>
        <w:t>退役军人局</w:t>
      </w:r>
      <w:r>
        <w:rPr>
          <w:rFonts w:hint="eastAsia" w:ascii="仿宋" w:hAnsi="仿宋" w:eastAsia="仿宋" w:cs="仿宋"/>
          <w:spacing w:val="0"/>
          <w:sz w:val="30"/>
          <w:szCs w:val="30"/>
          <w:lang w:eastAsia="zh-CN"/>
        </w:rPr>
        <w:t>规</w:t>
      </w:r>
      <w:r>
        <w:rPr>
          <w:rFonts w:ascii="仿宋" w:hAnsi="仿宋" w:eastAsia="仿宋" w:cs="仿宋"/>
          <w:spacing w:val="0"/>
          <w:sz w:val="30"/>
          <w:szCs w:val="30"/>
        </w:rPr>
        <w:t>〔202</w:t>
      </w:r>
      <w:r>
        <w:rPr>
          <w:rFonts w:hint="eastAsia" w:ascii="仿宋" w:hAnsi="仿宋" w:eastAsia="仿宋" w:cs="仿宋"/>
          <w:spacing w:val="0"/>
          <w:sz w:val="30"/>
          <w:szCs w:val="30"/>
          <w:lang w:val="en-US" w:eastAsia="zh-CN"/>
        </w:rPr>
        <w:t>5</w:t>
      </w:r>
      <w:r>
        <w:rPr>
          <w:rFonts w:ascii="仿宋" w:hAnsi="仿宋" w:eastAsia="仿宋" w:cs="仿宋"/>
          <w:spacing w:val="0"/>
          <w:sz w:val="30"/>
          <w:szCs w:val="30"/>
        </w:rPr>
        <w:t>〕</w:t>
      </w:r>
      <w:r>
        <w:rPr>
          <w:rFonts w:hint="eastAsia" w:ascii="仿宋" w:hAnsi="仿宋" w:eastAsia="仿宋" w:cs="仿宋"/>
          <w:spacing w:val="0"/>
          <w:sz w:val="30"/>
          <w:szCs w:val="30"/>
          <w:lang w:val="en-US" w:eastAsia="zh-CN"/>
        </w:rPr>
        <w:t>1</w:t>
      </w:r>
      <w:r>
        <w:rPr>
          <w:rFonts w:ascii="仿宋" w:hAnsi="仿宋" w:eastAsia="仿宋" w:cs="仿宋"/>
          <w:spacing w:val="0"/>
          <w:sz w:val="30"/>
          <w:szCs w:val="30"/>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spacing w:val="0"/>
          <w:sz w:val="21"/>
        </w:rPr>
      </w:pPr>
      <w:r>
        <w:rPr>
          <w:rFonts w:hint="eastAsia" w:ascii="方正小标宋简体" w:hAnsi="方正小标宋简体" w:eastAsia="方正小标宋简体" w:cs="方正小标宋简体"/>
          <w:b w:val="0"/>
          <w:bCs w:val="0"/>
          <w:color w:val="D50023"/>
          <w:spacing w:val="0"/>
          <w:sz w:val="72"/>
          <w:szCs w:val="72"/>
        </w:rPr>
        <w:pict>
          <v:rect id="_x0000_s1026" o:spid="_x0000_s1026" o:spt="1" style="position:absolute;left:0pt;margin-left:74.6pt;margin-top:419.7pt;height:3.05pt;width:453.55pt;mso-position-horizontal-relative:page;mso-position-vertical-relative:page;z-index:251660288;mso-width-relative:page;mso-height-relative:page;" fillcolor="#FF0000" filled="t" stroked="f" coordsize="21600,21600" o:allowincell="f">
            <v:path/>
            <v:fill on="t" color2="#FFFFFF" focussize="0,0"/>
            <v:stroke on="f"/>
            <v:imagedata o:title=""/>
            <o:lock v:ext="edit" aspectratio="f"/>
          </v:rect>
        </w:pict>
      </w:r>
    </w:p>
    <w:p>
      <w:pPr>
        <w:pStyle w:val="7"/>
        <w:keepNext w:val="0"/>
        <w:keepLines w:val="0"/>
        <w:pageBreakBefore w:val="0"/>
        <w:widowControl/>
        <w:suppressLineNumbers w:val="0"/>
        <w:wordWrap/>
        <w:topLinePunct w:val="0"/>
        <w:bidi w:val="0"/>
        <w:spacing w:before="0" w:beforeAutospacing="0" w:after="0" w:afterAutospacing="0" w:line="560" w:lineRule="exact"/>
        <w:ind w:left="0" w:right="0" w:firstLine="0"/>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 xml:space="preserve"> </w:t>
      </w:r>
      <w:r>
        <w:rPr>
          <w:rFonts w:hint="eastAsia" w:ascii="方正小标宋简体" w:hAnsi="方正小标宋简体" w:eastAsia="方正小标宋简体" w:cs="方正小标宋简体"/>
          <w:spacing w:val="0"/>
          <w:sz w:val="44"/>
          <w:szCs w:val="44"/>
          <w:lang w:eastAsia="zh-CN"/>
        </w:rPr>
        <w:t>安溪县</w:t>
      </w:r>
      <w:r>
        <w:rPr>
          <w:rFonts w:hint="eastAsia" w:ascii="方正小标宋简体" w:hAnsi="方正小标宋简体" w:eastAsia="方正小标宋简体" w:cs="方正小标宋简体"/>
          <w:spacing w:val="0"/>
          <w:sz w:val="44"/>
          <w:szCs w:val="44"/>
        </w:rPr>
        <w:t>退役军人事务局等</w:t>
      </w:r>
      <w:r>
        <w:rPr>
          <w:rFonts w:hint="eastAsia" w:ascii="方正小标宋简体" w:hAnsi="方正小标宋简体" w:eastAsia="方正小标宋简体" w:cs="方正小标宋简体"/>
          <w:spacing w:val="0"/>
          <w:sz w:val="44"/>
          <w:szCs w:val="44"/>
          <w:lang w:val="en-US" w:eastAsia="zh-CN"/>
        </w:rPr>
        <w:t>5</w:t>
      </w:r>
      <w:r>
        <w:rPr>
          <w:rFonts w:hint="eastAsia" w:ascii="方正小标宋简体" w:hAnsi="方正小标宋简体" w:eastAsia="方正小标宋简体" w:cs="方正小标宋简体"/>
          <w:spacing w:val="0"/>
          <w:sz w:val="44"/>
          <w:szCs w:val="44"/>
        </w:rPr>
        <w:t>部门</w:t>
      </w:r>
      <w:r>
        <w:rPr>
          <w:rFonts w:hint="eastAsia" w:ascii="方正小标宋简体" w:hAnsi="方正小标宋简体" w:eastAsia="方正小标宋简体" w:cs="方正小标宋简体"/>
          <w:spacing w:val="0"/>
          <w:sz w:val="44"/>
          <w:szCs w:val="44"/>
          <w:lang w:eastAsia="zh-CN"/>
        </w:rPr>
        <w:t>关于</w:t>
      </w:r>
      <w:r>
        <w:rPr>
          <w:rFonts w:hint="eastAsia" w:ascii="方正小标宋简体" w:hAnsi="方正小标宋简体" w:eastAsia="方正小标宋简体" w:cs="方正小标宋简体"/>
          <w:spacing w:val="0"/>
          <w:sz w:val="44"/>
          <w:szCs w:val="44"/>
        </w:rPr>
        <w:t>印发</w:t>
      </w:r>
    </w:p>
    <w:p>
      <w:pPr>
        <w:pStyle w:val="7"/>
        <w:keepNext w:val="0"/>
        <w:keepLines w:val="0"/>
        <w:pageBreakBefore w:val="0"/>
        <w:widowControl/>
        <w:suppressLineNumbers w:val="0"/>
        <w:wordWrap/>
        <w:topLinePunct w:val="0"/>
        <w:bidi w:val="0"/>
        <w:spacing w:before="0" w:beforeAutospacing="0" w:after="0" w:afterAutospacing="0" w:line="560" w:lineRule="exact"/>
        <w:ind w:left="0" w:right="0" w:firstLine="0"/>
        <w:jc w:val="both"/>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《安溪县重</w:t>
      </w:r>
      <w:r>
        <w:rPr>
          <w:rFonts w:hint="eastAsia" w:ascii="方正小标宋简体" w:hAnsi="方正小标宋简体" w:eastAsia="方正小标宋简体" w:cs="方正小标宋简体"/>
          <w:spacing w:val="0"/>
          <w:sz w:val="44"/>
          <w:szCs w:val="44"/>
          <w:lang w:eastAsia="zh-CN"/>
        </w:rPr>
        <w:t>点</w:t>
      </w:r>
      <w:r>
        <w:rPr>
          <w:rFonts w:hint="eastAsia" w:ascii="方正小标宋简体" w:hAnsi="方正小标宋简体" w:eastAsia="方正小标宋简体" w:cs="方正小标宋简体"/>
          <w:spacing w:val="0"/>
          <w:sz w:val="44"/>
          <w:szCs w:val="44"/>
        </w:rPr>
        <w:t>优抚对象医疗补助办法》</w:t>
      </w:r>
      <w:r>
        <w:rPr>
          <w:rFonts w:hint="eastAsia" w:ascii="方正小标宋简体" w:hAnsi="方正小标宋简体" w:eastAsia="方正小标宋简体" w:cs="方正小标宋简体"/>
          <w:spacing w:val="0"/>
          <w:sz w:val="44"/>
          <w:szCs w:val="44"/>
          <w:lang w:eastAsia="zh-CN"/>
        </w:rPr>
        <w:t>的</w:t>
      </w:r>
      <w:r>
        <w:rPr>
          <w:rFonts w:hint="eastAsia" w:ascii="方正小标宋简体" w:hAnsi="方正小标宋简体" w:eastAsia="方正小标宋简体" w:cs="方正小标宋简体"/>
          <w:spacing w:val="0"/>
          <w:sz w:val="44"/>
          <w:szCs w:val="44"/>
        </w:rPr>
        <w:t>通知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方正小标宋简体" w:hAnsi="方正小标宋简体" w:eastAsia="方正小标宋简体" w:cs="方正小标宋简体"/>
          <w:b w:val="0"/>
          <w:bCs w:val="0"/>
          <w:sz w:val="21"/>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各乡镇、县直有关单位：</w:t>
      </w:r>
    </w:p>
    <w:p>
      <w:pPr>
        <w:keepNext w:val="0"/>
        <w:keepLines w:val="0"/>
        <w:pageBreakBefore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为贯彻落实党和政府对退役军人的优待政策，帮助我县</w:t>
      </w:r>
      <w:r>
        <w:rPr>
          <w:rFonts w:hint="eastAsia" w:ascii="仿宋_GB2312" w:hAnsi="仿宋" w:eastAsia="仿宋_GB2312"/>
          <w:sz w:val="32"/>
          <w:szCs w:val="32"/>
          <w:lang w:eastAsia="zh-CN"/>
        </w:rPr>
        <w:t>重点</w:t>
      </w:r>
      <w:r>
        <w:rPr>
          <w:rFonts w:hint="eastAsia" w:ascii="仿宋_GB2312" w:hAnsi="仿宋" w:eastAsia="仿宋_GB2312"/>
          <w:sz w:val="32"/>
          <w:szCs w:val="32"/>
        </w:rPr>
        <w:t>优抚对象解决“医疗难”问题，根据《军人抚恤优待</w:t>
      </w:r>
      <w:r>
        <w:rPr>
          <w:rFonts w:hint="eastAsia" w:ascii="仿宋_GB2312" w:hAnsi="仿宋" w:eastAsia="仿宋_GB2312"/>
          <w:sz w:val="32"/>
          <w:szCs w:val="32"/>
          <w:lang w:eastAsia="zh-CN"/>
        </w:rPr>
        <w:t>条</w:t>
      </w:r>
      <w:bookmarkStart w:id="0" w:name="_GoBack"/>
      <w:bookmarkEnd w:id="0"/>
      <w:r>
        <w:rPr>
          <w:rFonts w:hint="eastAsia" w:ascii="仿宋_GB2312" w:hAnsi="仿宋" w:eastAsia="仿宋_GB2312" w:cs="Times New Roman"/>
          <w:sz w:val="32"/>
          <w:szCs w:val="32"/>
        </w:rPr>
        <w:t>例》、</w:t>
      </w:r>
      <w:r>
        <w:rPr>
          <w:rFonts w:hint="eastAsia" w:ascii="仿宋_GB2312" w:hAnsi="仿宋_GB2312" w:eastAsia="仿宋_GB2312" w:cs="仿宋_GB2312"/>
          <w:sz w:val="32"/>
          <w:szCs w:val="32"/>
          <w:lang w:eastAsia="zh-CN"/>
        </w:rPr>
        <w:t>《退役军人事务部等</w:t>
      </w:r>
      <w:r>
        <w:rPr>
          <w:rFonts w:hint="eastAsia" w:ascii="仿宋_GB2312" w:hAnsi="仿宋_GB2312" w:eastAsia="仿宋_GB2312" w:cs="仿宋_GB2312"/>
          <w:sz w:val="32"/>
          <w:szCs w:val="32"/>
          <w:lang w:val="en-US" w:eastAsia="zh-CN"/>
        </w:rPr>
        <w:t>6部门关于印发&lt;残疾退役军人医疗保障办法&gt;的通知</w:t>
      </w:r>
      <w:r>
        <w:rPr>
          <w:rFonts w:hint="eastAsia" w:ascii="仿宋_GB2312" w:hAnsi="仿宋_GB2312" w:eastAsia="仿宋_GB2312" w:cs="仿宋_GB2312"/>
          <w:sz w:val="32"/>
          <w:szCs w:val="32"/>
          <w:lang w:eastAsia="zh-CN"/>
        </w:rPr>
        <w:t>》（退役军人部发〔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3号</w:t>
      </w:r>
      <w:r>
        <w:rPr>
          <w:rFonts w:hint="eastAsia" w:ascii="仿宋_GB2312" w:hAnsi="仿宋_GB2312" w:eastAsia="仿宋_GB2312" w:cs="仿宋_GB2312"/>
          <w:sz w:val="32"/>
          <w:szCs w:val="32"/>
          <w:lang w:eastAsia="zh-CN"/>
        </w:rPr>
        <w:t>）、</w:t>
      </w:r>
      <w:r>
        <w:rPr>
          <w:rFonts w:hint="eastAsia" w:ascii="仿宋_GB2312" w:hAnsi="仿宋" w:eastAsia="仿宋_GB2312" w:cs="Times New Roman"/>
          <w:sz w:val="32"/>
          <w:szCs w:val="32"/>
        </w:rPr>
        <w:t>《福建省</w:t>
      </w:r>
      <w:r>
        <w:rPr>
          <w:rFonts w:hint="eastAsia" w:ascii="仿宋_GB2312" w:hAnsi="仿宋" w:eastAsia="仿宋_GB2312" w:cs="Times New Roman"/>
          <w:sz w:val="32"/>
          <w:szCs w:val="32"/>
          <w:lang w:eastAsia="zh-CN"/>
        </w:rPr>
        <w:t>退役军人事务厅等</w:t>
      </w:r>
      <w:r>
        <w:rPr>
          <w:rFonts w:hint="eastAsia" w:ascii="仿宋_GB2312" w:hAnsi="仿宋" w:eastAsia="仿宋_GB2312" w:cs="Times New Roman"/>
          <w:sz w:val="32"/>
          <w:szCs w:val="32"/>
          <w:lang w:val="en-US" w:eastAsia="zh-CN"/>
        </w:rPr>
        <w:t>6部门关于印发&lt;福建省优抚对象医疗保障实施办法&gt;的通知</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（闽退役军人厅规</w:t>
      </w:r>
      <w:r>
        <w:rPr>
          <w:rFonts w:hint="eastAsia" w:ascii="仿宋_GB2312" w:hAnsi="仿宋_GB2312" w:eastAsia="仿宋_GB2312" w:cs="仿宋_GB2312"/>
          <w:sz w:val="32"/>
          <w:szCs w:val="32"/>
          <w:lang w:val="en-US" w:eastAsia="zh-CN"/>
        </w:rPr>
        <w:t>〔</w:t>
      </w:r>
      <w:r>
        <w:rPr>
          <w:rFonts w:hint="eastAsia" w:ascii="仿宋_GB2312" w:hAnsi="仿宋"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w:t>
      </w:r>
      <w:r>
        <w:rPr>
          <w:rFonts w:hint="eastAsia" w:ascii="仿宋_GB2312" w:hAnsi="仿宋" w:eastAsia="仿宋_GB2312" w:cs="Times New Roman"/>
          <w:sz w:val="32"/>
          <w:szCs w:val="32"/>
          <w:lang w:val="en-US" w:eastAsia="zh-CN"/>
        </w:rPr>
        <w:t>2号）</w:t>
      </w:r>
      <w:r>
        <w:rPr>
          <w:rFonts w:hint="eastAsia" w:ascii="仿宋_GB2312" w:hAnsi="仿宋" w:eastAsia="仿宋_GB2312" w:cs="Times New Roman"/>
          <w:sz w:val="32"/>
          <w:szCs w:val="32"/>
        </w:rPr>
        <w:t>等有关政策文件精神，</w:t>
      </w:r>
      <w:r>
        <w:rPr>
          <w:rFonts w:hint="eastAsia" w:ascii="仿宋_GB2312" w:hAnsi="仿宋" w:eastAsia="仿宋_GB2312"/>
          <w:sz w:val="32"/>
          <w:szCs w:val="32"/>
        </w:rPr>
        <w:t>结合我县实际，决定</w:t>
      </w:r>
      <w:r>
        <w:rPr>
          <w:rFonts w:hint="eastAsia" w:ascii="仿宋_GB2312" w:hAnsi="仿宋" w:eastAsia="仿宋_GB2312"/>
          <w:sz w:val="32"/>
          <w:szCs w:val="32"/>
          <w:lang w:eastAsia="zh-CN"/>
        </w:rPr>
        <w:t>制定重点</w:t>
      </w:r>
      <w:r>
        <w:rPr>
          <w:rFonts w:hint="eastAsia" w:ascii="仿宋_GB2312" w:hAnsi="仿宋" w:eastAsia="仿宋_GB2312"/>
          <w:sz w:val="32"/>
          <w:szCs w:val="32"/>
        </w:rPr>
        <w:t>优抚对象医疗难</w:t>
      </w:r>
      <w:r>
        <w:rPr>
          <w:rFonts w:hint="eastAsia" w:ascii="仿宋_GB2312" w:hAnsi="仿宋" w:eastAsia="仿宋_GB2312"/>
          <w:sz w:val="32"/>
          <w:szCs w:val="32"/>
          <w:lang w:eastAsia="zh-CN"/>
        </w:rPr>
        <w:t>补助办法，具体办法</w:t>
      </w:r>
      <w:r>
        <w:rPr>
          <w:rFonts w:hint="eastAsia" w:ascii="仿宋_GB2312" w:hAnsi="仿宋" w:eastAsia="仿宋_GB2312"/>
          <w:sz w:val="32"/>
          <w:szCs w:val="32"/>
        </w:rPr>
        <w:t>如下：</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一、补助对象</w:t>
      </w:r>
      <w:r>
        <w:rPr>
          <w:rFonts w:hint="eastAsia" w:ascii="黑体" w:hAnsi="黑体" w:eastAsia="黑体" w:cs="黑体"/>
          <w:sz w:val="32"/>
          <w:szCs w:val="32"/>
          <w:lang w:eastAsia="zh-CN"/>
        </w:rPr>
        <w:t>范围</w:t>
      </w:r>
    </w:p>
    <w:p>
      <w:pPr>
        <w:keepNext w:val="0"/>
        <w:keepLines w:val="0"/>
        <w:pageBreakBefore w:val="0"/>
        <w:kinsoku/>
        <w:wordWrap/>
        <w:overflowPunct w:val="0"/>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val="0"/>
          <w:color w:val="000000"/>
          <w:kern w:val="0"/>
          <w:sz w:val="32"/>
          <w:szCs w:val="32"/>
          <w:lang w:val="en-US" w:eastAsia="zh-CN"/>
        </w:rPr>
      </w:pPr>
      <w:r>
        <w:rPr>
          <w:rFonts w:hint="eastAsia" w:eastAsia="仿宋_GB2312"/>
          <w:sz w:val="32"/>
          <w:szCs w:val="32"/>
        </w:rPr>
        <w:t>我</w:t>
      </w:r>
      <w:r>
        <w:rPr>
          <w:rFonts w:hint="eastAsia" w:eastAsia="仿宋_GB2312"/>
          <w:sz w:val="32"/>
          <w:szCs w:val="32"/>
          <w:lang w:eastAsia="zh-CN"/>
        </w:rPr>
        <w:t>县</w:t>
      </w:r>
      <w:r>
        <w:rPr>
          <w:rFonts w:hint="eastAsia" w:eastAsia="仿宋_GB2312"/>
          <w:sz w:val="32"/>
          <w:szCs w:val="32"/>
        </w:rPr>
        <w:t>享受</w:t>
      </w:r>
      <w:r>
        <w:rPr>
          <w:rFonts w:hint="eastAsia" w:eastAsia="仿宋_GB2312"/>
          <w:sz w:val="32"/>
          <w:szCs w:val="32"/>
          <w:lang w:eastAsia="zh-CN"/>
        </w:rPr>
        <w:t>国家定期</w:t>
      </w:r>
      <w:r>
        <w:rPr>
          <w:rFonts w:hint="eastAsia" w:eastAsia="仿宋_GB2312"/>
          <w:sz w:val="32"/>
          <w:szCs w:val="32"/>
        </w:rPr>
        <w:t>抚恤补助的</w:t>
      </w:r>
      <w:r>
        <w:rPr>
          <w:rFonts w:hint="eastAsia" w:eastAsia="仿宋_GB2312"/>
          <w:sz w:val="32"/>
          <w:szCs w:val="32"/>
          <w:lang w:eastAsia="zh-CN"/>
        </w:rPr>
        <w:t>重点优抚对象：</w:t>
      </w:r>
      <w:r>
        <w:rPr>
          <w:rFonts w:hint="eastAsia" w:ascii="仿宋_GB2312" w:hAnsi="仿宋_GB2312" w:eastAsia="仿宋_GB2312" w:cs="仿宋_GB2312"/>
          <w:snapToGrid w:val="0"/>
          <w:color w:val="000000"/>
          <w:kern w:val="0"/>
          <w:sz w:val="32"/>
          <w:szCs w:val="32"/>
          <w:lang w:val="en-US" w:eastAsia="zh-CN"/>
        </w:rPr>
        <w:t>残疾退役军人、烈士遗属、因公牺牲军人遗属、病故军人遗属、在乡复员军人、参战（参试）退役军人、带病回乡退役军人。</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楷体_GB2312" w:hAnsi="楷体_GB2312" w:eastAsia="黑体" w:cs="楷体_GB2312"/>
          <w:b/>
          <w:bCs/>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、补助</w:t>
      </w:r>
      <w:r>
        <w:rPr>
          <w:rFonts w:hint="eastAsia" w:ascii="黑体" w:hAnsi="黑体" w:eastAsia="黑体" w:cs="黑体"/>
          <w:sz w:val="32"/>
          <w:szCs w:val="32"/>
          <w:lang w:eastAsia="zh-CN"/>
        </w:rPr>
        <w:t>标准</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z w:val="32"/>
          <w:szCs w:val="32"/>
          <w:lang w:val="en-US" w:eastAsia="zh-CN"/>
        </w:rPr>
        <w:t>重点优抚对象在定点医疗机构就医所发生的基本医疗保险政策范围内住院和门诊特殊病种医疗费用，扣除基本医疗保险、大病保险、医疗救助等政策性医疗保障报销的金额后，</w:t>
      </w:r>
      <w:r>
        <w:rPr>
          <w:rFonts w:hint="eastAsia" w:ascii="仿宋_GB2312" w:hAnsi="仿宋_GB2312" w:eastAsia="仿宋_GB2312" w:cs="仿宋_GB2312"/>
          <w:snapToGrid w:val="0"/>
          <w:color w:val="000000"/>
          <w:kern w:val="0"/>
          <w:sz w:val="32"/>
          <w:szCs w:val="32"/>
          <w:lang w:val="en-US" w:eastAsia="zh-CN"/>
        </w:rPr>
        <w:t>对其年度内基本医疗保险政策范围内个人自付医疗费用给予补助，具体标准如下：</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一至四级残疾</w:t>
      </w:r>
      <w:r>
        <w:rPr>
          <w:rFonts w:hint="eastAsia" w:ascii="楷体_GB2312" w:hAnsi="楷体_GB2312" w:eastAsia="楷体_GB2312" w:cs="楷体_GB2312"/>
          <w:b w:val="0"/>
          <w:bCs w:val="0"/>
          <w:sz w:val="32"/>
          <w:szCs w:val="32"/>
          <w:lang w:eastAsia="zh-CN"/>
        </w:rPr>
        <w:t>退役</w:t>
      </w:r>
      <w:r>
        <w:rPr>
          <w:rFonts w:hint="eastAsia" w:ascii="楷体_GB2312" w:hAnsi="楷体_GB2312" w:eastAsia="楷体_GB2312" w:cs="楷体_GB2312"/>
          <w:b w:val="0"/>
          <w:bCs w:val="0"/>
          <w:sz w:val="32"/>
          <w:szCs w:val="32"/>
        </w:rPr>
        <w:t>军人</w:t>
      </w:r>
      <w:r>
        <w:rPr>
          <w:rFonts w:hint="eastAsia" w:ascii="楷体_GB2312" w:hAnsi="楷体_GB2312" w:eastAsia="楷体_GB2312" w:cs="楷体_GB2312"/>
          <w:b w:val="0"/>
          <w:bCs w:val="0"/>
          <w:sz w:val="32"/>
          <w:szCs w:val="32"/>
          <w:lang w:val="en-US" w:eastAsia="zh-CN"/>
        </w:rPr>
        <w:t>补助标准。</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《军人抚恤优待条例》（20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施行</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三十三</w:t>
      </w:r>
      <w:r>
        <w:rPr>
          <w:rFonts w:hint="eastAsia" w:ascii="仿宋_GB2312" w:hAnsi="仿宋_GB2312" w:eastAsia="仿宋_GB2312" w:cs="仿宋_GB2312"/>
          <w:sz w:val="32"/>
          <w:szCs w:val="32"/>
        </w:rPr>
        <w:t>条规定：“退出现役</w:t>
      </w:r>
      <w:r>
        <w:rPr>
          <w:rFonts w:hint="eastAsia" w:ascii="仿宋_GB2312" w:hAnsi="仿宋_GB2312" w:eastAsia="仿宋_GB2312" w:cs="仿宋_GB2312"/>
          <w:sz w:val="32"/>
          <w:szCs w:val="32"/>
          <w:lang w:eastAsia="zh-CN"/>
        </w:rPr>
        <w:t>时为</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至四级</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残疾军人，由国家供养终身”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补助对象在医保定点医疗机构发生的</w:t>
      </w:r>
      <w:r>
        <w:rPr>
          <w:rFonts w:hint="eastAsia" w:ascii="仿宋_GB2312" w:hAnsi="仿宋_GB2312" w:eastAsia="仿宋_GB2312" w:cs="仿宋_GB2312"/>
          <w:sz w:val="32"/>
          <w:szCs w:val="32"/>
        </w:rPr>
        <w:t>医疗</w:t>
      </w:r>
      <w:r>
        <w:rPr>
          <w:rFonts w:hint="eastAsia" w:ascii="仿宋_GB2312" w:hAnsi="仿宋_GB2312" w:eastAsia="仿宋_GB2312" w:cs="仿宋_GB2312"/>
          <w:sz w:val="32"/>
          <w:szCs w:val="32"/>
          <w:lang w:val="en-US" w:eastAsia="zh-CN"/>
        </w:rPr>
        <w:t>费用经</w:t>
      </w:r>
      <w:r>
        <w:rPr>
          <w:rFonts w:hint="eastAsia" w:ascii="仿宋_GB2312" w:hAnsi="仿宋_GB2312" w:eastAsia="仿宋_GB2312" w:cs="仿宋_GB2312"/>
          <w:sz w:val="32"/>
          <w:szCs w:val="32"/>
        </w:rPr>
        <w:t>基本医疗保险、大病保险、医疗救助等政策</w:t>
      </w:r>
      <w:r>
        <w:rPr>
          <w:rFonts w:hint="eastAsia" w:ascii="仿宋_GB2312" w:hAnsi="仿宋_GB2312" w:eastAsia="仿宋_GB2312" w:cs="仿宋_GB2312"/>
          <w:sz w:val="32"/>
          <w:szCs w:val="32"/>
          <w:lang w:val="en-US" w:eastAsia="zh-CN"/>
        </w:rPr>
        <w:t>报销</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自付</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由优抚对象医疗补助资金</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比例给予</w:t>
      </w:r>
      <w:r>
        <w:rPr>
          <w:rFonts w:hint="eastAsia" w:ascii="仿宋_GB2312" w:hAnsi="仿宋_GB2312" w:eastAsia="仿宋_GB2312" w:cs="仿宋_GB2312"/>
          <w:sz w:val="32"/>
          <w:szCs w:val="32"/>
        </w:rPr>
        <w:t>补助</w:t>
      </w:r>
      <w:r>
        <w:rPr>
          <w:rFonts w:hint="eastAsia" w:ascii="仿宋_GB2312" w:hAnsi="仿宋_GB2312" w:eastAsia="仿宋_GB2312" w:cs="仿宋_GB2312"/>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）一至四级残疾退役军人除外其他重点优抚对象</w:t>
      </w:r>
      <w:r>
        <w:rPr>
          <w:rFonts w:hint="eastAsia" w:ascii="楷体_GB2312" w:hAnsi="楷体_GB2312" w:eastAsia="楷体_GB2312" w:cs="楷体_GB2312"/>
          <w:b w:val="0"/>
          <w:bCs w:val="0"/>
          <w:sz w:val="32"/>
          <w:szCs w:val="32"/>
          <w:lang w:val="en-US" w:eastAsia="zh-CN"/>
        </w:rPr>
        <w:t>补助标准。</w:t>
      </w:r>
      <w:r>
        <w:rPr>
          <w:rFonts w:hint="eastAsia" w:ascii="仿宋_GB2312" w:hAnsi="仿宋_GB2312" w:eastAsia="仿宋_GB2312" w:cs="仿宋_GB2312"/>
          <w:sz w:val="32"/>
          <w:szCs w:val="32"/>
          <w:lang w:val="en-US" w:eastAsia="zh-CN"/>
        </w:rPr>
        <w:t>补助对象在医保定点医疗机构发生的</w:t>
      </w:r>
      <w:r>
        <w:rPr>
          <w:rFonts w:hint="eastAsia" w:ascii="仿宋_GB2312" w:hAnsi="仿宋_GB2312" w:eastAsia="仿宋_GB2312" w:cs="仿宋_GB2312"/>
          <w:sz w:val="32"/>
          <w:szCs w:val="32"/>
        </w:rPr>
        <w:t>医疗</w:t>
      </w:r>
      <w:r>
        <w:rPr>
          <w:rFonts w:hint="eastAsia" w:ascii="仿宋_GB2312" w:hAnsi="仿宋_GB2312" w:eastAsia="仿宋_GB2312" w:cs="仿宋_GB2312"/>
          <w:sz w:val="32"/>
          <w:szCs w:val="32"/>
          <w:lang w:val="en-US" w:eastAsia="zh-CN"/>
        </w:rPr>
        <w:t>费用经</w:t>
      </w:r>
      <w:r>
        <w:rPr>
          <w:rFonts w:hint="eastAsia" w:ascii="仿宋_GB2312" w:hAnsi="仿宋_GB2312" w:eastAsia="仿宋_GB2312" w:cs="仿宋_GB2312"/>
          <w:sz w:val="32"/>
          <w:szCs w:val="32"/>
        </w:rPr>
        <w:t>基本医疗保险、大病保险、医疗救助等政策</w:t>
      </w:r>
      <w:r>
        <w:rPr>
          <w:rFonts w:hint="eastAsia" w:ascii="仿宋_GB2312" w:hAnsi="仿宋_GB2312" w:eastAsia="仿宋_GB2312" w:cs="仿宋_GB2312"/>
          <w:sz w:val="32"/>
          <w:szCs w:val="32"/>
          <w:lang w:val="en-US" w:eastAsia="zh-CN"/>
        </w:rPr>
        <w:t>报销</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val="en-US" w:eastAsia="zh-CN"/>
        </w:rPr>
        <w:t>个人自付部分由优抚对象医疗补助资金按90%比例给予补助。</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napToGrid w:val="0"/>
          <w:color w:val="000000"/>
          <w:kern w:val="0"/>
          <w:sz w:val="32"/>
          <w:szCs w:val="32"/>
          <w:lang w:val="en-US" w:eastAsia="zh-CN"/>
        </w:rPr>
      </w:pPr>
      <w:r>
        <w:rPr>
          <w:rFonts w:hint="eastAsia" w:ascii="楷体_GB2312" w:hAnsi="楷体_GB2312" w:eastAsia="楷体_GB2312" w:cs="楷体_GB2312"/>
          <w:snapToGrid w:val="0"/>
          <w:color w:val="000000"/>
          <w:kern w:val="0"/>
          <w:sz w:val="32"/>
          <w:szCs w:val="32"/>
          <w:lang w:val="en-US" w:eastAsia="zh-CN"/>
        </w:rPr>
        <w:t>（三）五至六级残疾退役军人年度累计补助最高限额为每人每年3万元，</w:t>
      </w:r>
      <w:r>
        <w:rPr>
          <w:rFonts w:hint="eastAsia" w:ascii="仿宋_GB2312" w:hAnsi="仿宋_GB2312" w:eastAsia="仿宋_GB2312" w:cs="仿宋_GB2312"/>
          <w:snapToGrid w:val="0"/>
          <w:color w:val="000000"/>
          <w:kern w:val="0"/>
          <w:sz w:val="32"/>
          <w:szCs w:val="32"/>
          <w:lang w:val="en-US" w:eastAsia="zh-CN"/>
        </w:rPr>
        <w:t>五至六级残疾退役军人除外其他重点优抚对象年度累计补助最高限额为每人每年1万元。</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、补助</w:t>
      </w:r>
      <w:r>
        <w:rPr>
          <w:rFonts w:hint="eastAsia" w:ascii="黑体" w:hAnsi="黑体" w:eastAsia="黑体" w:cs="黑体"/>
          <w:sz w:val="32"/>
          <w:szCs w:val="32"/>
          <w:lang w:eastAsia="zh-CN"/>
        </w:rPr>
        <w:t>流程</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eastAsia="仿宋_GB2312" w:cs="仿宋_GB2312"/>
          <w:sz w:val="32"/>
          <w:szCs w:val="32"/>
        </w:rPr>
      </w:pPr>
      <w:r>
        <w:rPr>
          <w:rFonts w:hint="eastAsia"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rPr>
        <w:t>对象</w:t>
      </w:r>
      <w:r>
        <w:rPr>
          <w:rFonts w:hint="eastAsia" w:ascii="仿宋_GB2312" w:hAnsi="仿宋_GB2312" w:eastAsia="仿宋_GB2312" w:cs="仿宋_GB2312"/>
          <w:sz w:val="32"/>
          <w:szCs w:val="32"/>
          <w:lang w:val="en-US" w:eastAsia="zh-CN"/>
        </w:rPr>
        <w:t>携带</w:t>
      </w:r>
      <w:r>
        <w:rPr>
          <w:rFonts w:hint="eastAsia" w:ascii="仿宋_GB2312" w:hAnsi="仿宋_GB2312" w:eastAsia="仿宋_GB2312" w:cs="仿宋_GB2312"/>
          <w:sz w:val="32"/>
          <w:szCs w:val="32"/>
        </w:rPr>
        <w:t>医疗费用发票、</w:t>
      </w:r>
      <w:r>
        <w:rPr>
          <w:rFonts w:hint="eastAsia" w:ascii="仿宋_GB2312" w:hAnsi="仿宋_GB2312" w:eastAsia="仿宋_GB2312" w:cs="仿宋_GB2312"/>
          <w:sz w:val="32"/>
          <w:szCs w:val="32"/>
          <w:lang w:eastAsia="zh-CN"/>
        </w:rPr>
        <w:t>疾病</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费用汇总清单、</w:t>
      </w:r>
      <w:r>
        <w:rPr>
          <w:rFonts w:hint="eastAsia" w:ascii="仿宋_GB2312" w:hAnsi="仿宋_GB2312" w:eastAsia="仿宋_GB2312" w:cs="仿宋_GB2312"/>
          <w:sz w:val="32"/>
          <w:szCs w:val="32"/>
        </w:rPr>
        <w:t>出院小结、</w:t>
      </w:r>
      <w:r>
        <w:rPr>
          <w:rFonts w:hint="eastAsia" w:ascii="仿宋_GB2312" w:hAnsi="仿宋_GB2312" w:eastAsia="仿宋_GB2312" w:cs="仿宋_GB2312"/>
          <w:sz w:val="32"/>
          <w:szCs w:val="32"/>
          <w:lang w:val="en-US" w:eastAsia="zh-CN"/>
        </w:rPr>
        <w:t>医保结算单等原件及</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和银行卡</w:t>
      </w:r>
      <w:r>
        <w:rPr>
          <w:rFonts w:hint="eastAsia" w:ascii="仿宋_GB2312" w:hAnsi="仿宋_GB2312" w:eastAsia="仿宋_GB2312" w:cs="仿宋_GB2312"/>
          <w:sz w:val="32"/>
          <w:szCs w:val="32"/>
        </w:rPr>
        <w:t>复印件，到泉州市医疗保障基金中心安溪</w:t>
      </w:r>
      <w:r>
        <w:rPr>
          <w:rFonts w:hint="eastAsia" w:ascii="仿宋_GB2312" w:hAnsi="仿宋_GB2312" w:eastAsia="仿宋_GB2312" w:cs="仿宋_GB2312"/>
          <w:sz w:val="32"/>
          <w:szCs w:val="32"/>
          <w:lang w:val="en-US" w:eastAsia="zh-CN"/>
        </w:rPr>
        <w:t>分中心</w:t>
      </w:r>
      <w:r>
        <w:rPr>
          <w:rFonts w:hint="eastAsia" w:ascii="仿宋_GB2312" w:hAnsi="仿宋_GB2312" w:eastAsia="仿宋_GB2312" w:cs="仿宋_GB2312"/>
          <w:sz w:val="32"/>
          <w:szCs w:val="32"/>
        </w:rPr>
        <w:t>，由泉州市医疗保障基金中心安溪</w:t>
      </w:r>
      <w:r>
        <w:rPr>
          <w:rFonts w:hint="eastAsia" w:ascii="仿宋_GB2312" w:hAnsi="仿宋_GB2312" w:eastAsia="仿宋_GB2312" w:cs="仿宋_GB2312"/>
          <w:sz w:val="32"/>
          <w:szCs w:val="32"/>
          <w:lang w:val="en-US" w:eastAsia="zh-CN"/>
        </w:rPr>
        <w:t>分中心</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eastAsia="zh-CN"/>
        </w:rPr>
        <w:t>查询相关数据</w:t>
      </w:r>
      <w:r>
        <w:rPr>
          <w:rFonts w:hint="eastAsia" w:ascii="仿宋_GB2312" w:hAnsi="仿宋_GB2312" w:eastAsia="仿宋_GB2312" w:cs="仿宋_GB2312"/>
          <w:sz w:val="32"/>
          <w:szCs w:val="32"/>
          <w:lang w:val="en-US" w:eastAsia="zh-CN"/>
        </w:rPr>
        <w:t>，</w:t>
      </w:r>
      <w:r>
        <w:rPr>
          <w:rFonts w:hint="eastAsia" w:eastAsia="仿宋_GB2312" w:cs="仿宋_GB2312"/>
          <w:sz w:val="32"/>
          <w:szCs w:val="32"/>
        </w:rPr>
        <w:t>加盖公章再汇总至</w:t>
      </w:r>
      <w:r>
        <w:rPr>
          <w:rFonts w:hint="eastAsia" w:eastAsia="仿宋_GB2312" w:cs="仿宋_GB2312"/>
          <w:sz w:val="32"/>
          <w:szCs w:val="32"/>
          <w:lang w:eastAsia="zh-CN"/>
        </w:rPr>
        <w:t>县</w:t>
      </w:r>
      <w:r>
        <w:rPr>
          <w:rFonts w:hint="eastAsia" w:eastAsia="仿宋_GB2312" w:cs="仿宋_GB2312"/>
          <w:sz w:val="32"/>
          <w:szCs w:val="32"/>
        </w:rPr>
        <w:t>退役军人事务局审批。</w:t>
      </w:r>
    </w:p>
    <w:p>
      <w:pPr>
        <w:keepNext w:val="0"/>
        <w:keepLines w:val="0"/>
        <w:pageBreakBefore w:val="0"/>
        <w:kinsoku/>
        <w:wordWrap/>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医疗费用补助金实行社会化发放方式，经审批通过后，由银行代发至申请对象个人账户。具体补助发放时间根据实际情况安排（原则上每半年结算一次）。</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、下列情形发生的医疗费用不属于</w:t>
      </w:r>
      <w:r>
        <w:rPr>
          <w:rFonts w:hint="eastAsia" w:ascii="黑体" w:hAnsi="黑体" w:eastAsia="黑体" w:cs="黑体"/>
          <w:sz w:val="32"/>
          <w:szCs w:val="32"/>
          <w:lang w:val="en-US" w:eastAsia="zh-CN"/>
        </w:rPr>
        <w:t>补助</w:t>
      </w:r>
      <w:r>
        <w:rPr>
          <w:rFonts w:hint="eastAsia" w:ascii="黑体" w:hAnsi="黑体" w:eastAsia="黑体" w:cs="黑体"/>
          <w:sz w:val="32"/>
          <w:szCs w:val="32"/>
        </w:rPr>
        <w:t>范围</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参与违法犯罪活动等</w:t>
      </w:r>
      <w:r>
        <w:rPr>
          <w:rFonts w:hint="eastAsia" w:ascii="仿宋_GB2312" w:hAnsi="仿宋_GB2312" w:eastAsia="仿宋_GB2312" w:cs="仿宋_GB2312"/>
          <w:sz w:val="32"/>
          <w:szCs w:val="32"/>
        </w:rPr>
        <w:t>原因产生的医疗费用的；</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提供虚假证明或相关证明材料提供不全的；</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在境外（含港澳台地区）就医的；</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应当由第三者负担的；</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其他依法、依规不应予以支付的医疗费用。</w:t>
      </w:r>
    </w:p>
    <w:p>
      <w:pPr>
        <w:pStyle w:val="7"/>
        <w:keepNext w:val="0"/>
        <w:keepLines w:val="0"/>
        <w:pageBreakBefore w:val="0"/>
        <w:widowControl/>
        <w:suppressLineNumbers w:val="0"/>
        <w:kinsoku/>
        <w:wordWrap/>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z w:val="32"/>
          <w:szCs w:val="32"/>
          <w:lang w:val="en-US" w:eastAsia="zh-CN"/>
        </w:rPr>
        <w:t>本办法由县退役军人事务局负责解释，未尽事项事宜，按相关文件规定处理。</w:t>
      </w:r>
      <w:r>
        <w:rPr>
          <w:rFonts w:hint="eastAsia" w:ascii="仿宋_GB2312" w:hAnsi="仿宋_GB2312" w:eastAsia="仿宋_GB2312" w:cs="仿宋_GB2312"/>
          <w:snapToGrid w:val="0"/>
          <w:color w:val="000000"/>
          <w:kern w:val="0"/>
          <w:sz w:val="32"/>
          <w:szCs w:val="32"/>
          <w:lang w:val="en-US" w:eastAsia="zh-CN"/>
        </w:rPr>
        <w:t>本办法自印发之日起施行。有效期至2030年12月31日。2025年7月起至发布之日期间参照执行。</w:t>
      </w:r>
      <w:r>
        <w:rPr>
          <w:rFonts w:hint="eastAsia" w:ascii="仿宋_GB2312" w:hAnsi="仿宋_GB2312" w:eastAsia="仿宋_GB2312" w:cs="仿宋_GB2312"/>
          <w:snapToGrid w:val="0"/>
          <w:color w:val="auto"/>
          <w:kern w:val="0"/>
          <w:sz w:val="32"/>
          <w:szCs w:val="32"/>
          <w:lang w:val="en-US" w:eastAsia="zh-CN"/>
        </w:rPr>
        <w:t>省、市退役军人事务部门就有关重点优抚对象医疗保障出台新规定后，如果本办法与上级规定存在不一致，从其规定。</w:t>
      </w:r>
    </w:p>
    <w:p>
      <w:pPr>
        <w:pStyle w:val="4"/>
        <w:keepNext w:val="0"/>
        <w:keepLines w:val="0"/>
        <w:pageBreakBefore w:val="0"/>
        <w:wordWrap/>
        <w:topLinePunct w:val="0"/>
        <w:bidi w:val="0"/>
        <w:spacing w:line="600" w:lineRule="exact"/>
        <w:jc w:val="left"/>
        <w:rPr>
          <w:rFonts w:hint="eastAsia"/>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420" w:firstLineChars="200"/>
        <w:jc w:val="left"/>
        <w:textAlignment w:val="baseline"/>
        <w:rPr>
          <w:rFonts w:ascii="Arial"/>
          <w:sz w:val="21"/>
        </w:rPr>
      </w:pPr>
    </w:p>
    <w:p>
      <w:pPr>
        <w:keepNext w:val="0"/>
        <w:keepLines w:val="0"/>
        <w:pageBreakBefore w:val="0"/>
        <w:widowControl w:val="0"/>
        <w:kinsoku w:val="0"/>
        <w:wordWrap/>
        <w:overflowPunct/>
        <w:topLinePunct w:val="0"/>
        <w:autoSpaceDE w:val="0"/>
        <w:autoSpaceDN w:val="0"/>
        <w:bidi w:val="0"/>
        <w:adjustRightInd w:val="0"/>
        <w:snapToGrid w:val="0"/>
        <w:spacing w:before="101" w:line="600" w:lineRule="exact"/>
        <w:ind w:firstLine="348" w:firstLineChars="1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eastAsia="zh-CN"/>
        </w:rPr>
        <w:t>安溪县</w:t>
      </w:r>
      <w:r>
        <w:rPr>
          <w:rFonts w:hint="eastAsia" w:ascii="仿宋_GB2312" w:hAnsi="仿宋_GB2312" w:eastAsia="仿宋_GB2312" w:cs="仿宋_GB2312"/>
          <w:spacing w:val="5"/>
          <w:position w:val="1"/>
          <w:sz w:val="32"/>
          <w:szCs w:val="32"/>
        </w:rPr>
        <w:t>退役军人事务局</w:t>
      </w:r>
      <w:r>
        <w:rPr>
          <w:rFonts w:hint="eastAsia" w:ascii="仿宋_GB2312" w:hAnsi="仿宋_GB2312" w:eastAsia="仿宋_GB2312" w:cs="仿宋_GB2312"/>
          <w:spacing w:val="9"/>
          <w:position w:val="1"/>
          <w:sz w:val="32"/>
          <w:szCs w:val="32"/>
        </w:rPr>
        <w:t xml:space="preserve">       </w:t>
      </w:r>
      <w:r>
        <w:rPr>
          <w:rFonts w:hint="eastAsia" w:ascii="仿宋_GB2312" w:hAnsi="仿宋_GB2312" w:eastAsia="仿宋_GB2312" w:cs="仿宋_GB2312"/>
          <w:spacing w:val="9"/>
          <w:position w:val="1"/>
          <w:sz w:val="32"/>
          <w:szCs w:val="32"/>
          <w:lang w:val="en-US" w:eastAsia="zh-CN"/>
        </w:rPr>
        <w:t xml:space="preserve">       </w:t>
      </w:r>
      <w:r>
        <w:rPr>
          <w:rFonts w:hint="eastAsia" w:ascii="仿宋_GB2312" w:hAnsi="仿宋_GB2312" w:eastAsia="仿宋_GB2312" w:cs="仿宋_GB2312"/>
          <w:spacing w:val="14"/>
          <w:sz w:val="32"/>
          <w:szCs w:val="32"/>
          <w:lang w:eastAsia="zh-CN"/>
        </w:rPr>
        <w:t>安溪县</w:t>
      </w:r>
      <w:r>
        <w:rPr>
          <w:rFonts w:hint="eastAsia" w:ascii="仿宋_GB2312" w:hAnsi="仿宋_GB2312" w:eastAsia="仿宋_GB2312" w:cs="仿宋_GB2312"/>
          <w:spacing w:val="5"/>
          <w:sz w:val="32"/>
          <w:szCs w:val="32"/>
          <w:lang w:eastAsia="zh-CN"/>
        </w:rPr>
        <w:t>财政局</w:t>
      </w:r>
      <w:r>
        <w:rPr>
          <w:rFonts w:hint="eastAsia" w:ascii="仿宋_GB2312" w:hAnsi="仿宋_GB2312" w:eastAsia="仿宋_GB2312" w:cs="仿宋_GB2312"/>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仿宋_GB2312" w:hAnsi="仿宋_GB2312" w:eastAsia="仿宋_GB2312" w:cs="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before="101" w:line="600" w:lineRule="exact"/>
        <w:ind w:firstLine="348" w:firstLineChars="100"/>
        <w:jc w:val="left"/>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14"/>
          <w:sz w:val="32"/>
          <w:szCs w:val="32"/>
          <w:lang w:eastAsia="zh-CN"/>
        </w:rPr>
        <w:t>安溪县</w:t>
      </w:r>
      <w:r>
        <w:rPr>
          <w:rFonts w:hint="eastAsia" w:ascii="仿宋_GB2312" w:hAnsi="仿宋_GB2312" w:eastAsia="仿宋_GB2312" w:cs="仿宋_GB2312"/>
          <w:spacing w:val="4"/>
          <w:sz w:val="32"/>
          <w:szCs w:val="32"/>
          <w:lang w:eastAsia="zh-CN"/>
        </w:rPr>
        <w:t>人力资源和社会保障局</w:t>
      </w:r>
      <w:r>
        <w:rPr>
          <w:rFonts w:hint="eastAsia" w:ascii="仿宋_GB2312" w:hAnsi="仿宋_GB2312" w:eastAsia="仿宋_GB2312" w:cs="仿宋_GB2312"/>
          <w:spacing w:val="9"/>
          <w:position w:val="1"/>
          <w:sz w:val="32"/>
          <w:szCs w:val="32"/>
        </w:rPr>
        <w:t xml:space="preserve">    </w:t>
      </w:r>
      <w:r>
        <w:rPr>
          <w:rFonts w:hint="eastAsia" w:ascii="仿宋_GB2312" w:hAnsi="仿宋_GB2312" w:eastAsia="仿宋_GB2312" w:cs="仿宋_GB2312"/>
          <w:spacing w:val="9"/>
          <w:position w:val="1"/>
          <w:sz w:val="32"/>
          <w:szCs w:val="32"/>
          <w:lang w:val="en-US" w:eastAsia="zh-CN"/>
        </w:rPr>
        <w:t xml:space="preserve">   </w:t>
      </w:r>
      <w:r>
        <w:rPr>
          <w:rFonts w:hint="eastAsia" w:ascii="仿宋_GB2312" w:hAnsi="仿宋_GB2312" w:eastAsia="仿宋_GB2312" w:cs="仿宋_GB2312"/>
          <w:spacing w:val="14"/>
          <w:sz w:val="32"/>
          <w:szCs w:val="32"/>
          <w:lang w:eastAsia="zh-CN"/>
        </w:rPr>
        <w:t>安溪县</w:t>
      </w:r>
      <w:r>
        <w:rPr>
          <w:rFonts w:hint="eastAsia" w:ascii="仿宋_GB2312" w:hAnsi="仿宋_GB2312" w:eastAsia="仿宋_GB2312" w:cs="仿宋_GB2312"/>
          <w:spacing w:val="4"/>
          <w:sz w:val="32"/>
          <w:szCs w:val="32"/>
          <w:lang w:eastAsia="zh-CN"/>
        </w:rPr>
        <w:t>卫生健康局</w:t>
      </w:r>
    </w:p>
    <w:p>
      <w:pPr>
        <w:pStyle w:val="3"/>
        <w:keepNext w:val="0"/>
        <w:keepLines w:val="0"/>
        <w:pageBreakBefore w:val="0"/>
        <w:wordWrap/>
        <w:topLinePunct w:val="0"/>
        <w:bidi w:val="0"/>
        <w:spacing w:line="600" w:lineRule="exact"/>
        <w:jc w:val="left"/>
        <w:rPr>
          <w:rFonts w:hint="eastAsia" w:ascii="仿宋_GB2312" w:hAnsi="仿宋_GB2312" w:eastAsia="仿宋_GB2312" w:cs="仿宋_GB2312"/>
          <w:sz w:val="32"/>
          <w:szCs w:val="32"/>
        </w:rPr>
      </w:pPr>
    </w:p>
    <w:p>
      <w:pPr>
        <w:pStyle w:val="3"/>
        <w:keepNext w:val="0"/>
        <w:keepLines w:val="0"/>
        <w:pageBreakBefore w:val="0"/>
        <w:wordWrap/>
        <w:topLinePunct w:val="0"/>
        <w:bidi w:val="0"/>
        <w:spacing w:line="600" w:lineRule="exact"/>
        <w:jc w:val="left"/>
        <w:rPr>
          <w:rFonts w:hint="eastAsia" w:ascii="仿宋_GB2312" w:hAnsi="仿宋_GB2312" w:eastAsia="仿宋_GB2312" w:cs="仿宋_GB2312"/>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before="101" w:line="600" w:lineRule="exact"/>
        <w:ind w:firstLine="4524" w:firstLineChars="1300"/>
        <w:jc w:val="left"/>
        <w:textAlignment w:val="baseline"/>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lang w:eastAsia="zh-CN"/>
        </w:rPr>
        <w:t>泉州市医疗保障局安溪分局</w:t>
      </w:r>
      <w:r>
        <w:rPr>
          <w:rFonts w:hint="eastAsia" w:ascii="仿宋_GB2312" w:hAnsi="仿宋_GB2312" w:eastAsia="仿宋_GB2312" w:cs="仿宋_GB2312"/>
          <w:spacing w:val="14"/>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before="190" w:line="600" w:lineRule="exact"/>
        <w:ind w:firstLine="5740" w:firstLineChars="1400"/>
        <w:jc w:val="left"/>
        <w:textAlignment w:val="baseline"/>
        <w:rPr>
          <w:rFonts w:hint="eastAsia" w:ascii="仿宋_GB2312" w:hAnsi="仿宋_GB2312" w:eastAsia="仿宋_GB2312" w:cs="仿宋_GB2312"/>
          <w:spacing w:val="45"/>
          <w:sz w:val="32"/>
          <w:szCs w:val="32"/>
        </w:rPr>
      </w:pPr>
      <w:r>
        <w:rPr>
          <w:rFonts w:hint="eastAsia" w:ascii="仿宋_GB2312" w:hAnsi="仿宋_GB2312" w:eastAsia="仿宋_GB2312" w:cs="仿宋_GB2312"/>
          <w:spacing w:val="45"/>
          <w:sz w:val="32"/>
          <w:szCs w:val="32"/>
        </w:rPr>
        <w:t>20</w:t>
      </w:r>
      <w:r>
        <w:rPr>
          <w:rFonts w:hint="eastAsia" w:ascii="仿宋_GB2312" w:hAnsi="仿宋_GB2312" w:eastAsia="仿宋_GB2312" w:cs="仿宋_GB2312"/>
          <w:spacing w:val="45"/>
          <w:sz w:val="32"/>
          <w:szCs w:val="32"/>
          <w:lang w:val="en-US" w:eastAsia="zh-CN"/>
        </w:rPr>
        <w:t>25</w:t>
      </w:r>
      <w:r>
        <w:rPr>
          <w:rFonts w:hint="eastAsia" w:ascii="仿宋_GB2312" w:hAnsi="仿宋_GB2312" w:eastAsia="仿宋_GB2312" w:cs="仿宋_GB2312"/>
          <w:spacing w:val="45"/>
          <w:sz w:val="32"/>
          <w:szCs w:val="32"/>
        </w:rPr>
        <w:t>年</w:t>
      </w:r>
      <w:r>
        <w:rPr>
          <w:rFonts w:hint="eastAsia" w:ascii="仿宋_GB2312" w:hAnsi="仿宋_GB2312" w:eastAsia="仿宋_GB2312" w:cs="仿宋_GB2312"/>
          <w:spacing w:val="45"/>
          <w:sz w:val="32"/>
          <w:szCs w:val="32"/>
          <w:lang w:val="en-US" w:eastAsia="zh-CN"/>
        </w:rPr>
        <w:t>12</w:t>
      </w:r>
      <w:r>
        <w:rPr>
          <w:rFonts w:hint="eastAsia" w:ascii="仿宋_GB2312" w:hAnsi="仿宋_GB2312" w:eastAsia="仿宋_GB2312" w:cs="仿宋_GB2312"/>
          <w:spacing w:val="45"/>
          <w:sz w:val="32"/>
          <w:szCs w:val="32"/>
        </w:rPr>
        <w:t>月</w:t>
      </w:r>
      <w:r>
        <w:rPr>
          <w:rFonts w:hint="eastAsia" w:ascii="仿宋_GB2312" w:hAnsi="仿宋_GB2312" w:eastAsia="仿宋_GB2312" w:cs="仿宋_GB2312"/>
          <w:spacing w:val="45"/>
          <w:sz w:val="32"/>
          <w:szCs w:val="32"/>
          <w:lang w:val="en-US" w:eastAsia="zh-CN"/>
        </w:rPr>
        <w:t>30</w:t>
      </w:r>
      <w:r>
        <w:rPr>
          <w:rFonts w:hint="eastAsia" w:ascii="仿宋_GB2312" w:hAnsi="仿宋_GB2312" w:eastAsia="仿宋_GB2312" w:cs="仿宋_GB2312"/>
          <w:spacing w:val="45"/>
          <w:sz w:val="32"/>
          <w:szCs w:val="32"/>
        </w:rPr>
        <w:t>日</w:t>
      </w:r>
    </w:p>
    <w:p>
      <w:pPr>
        <w:pStyle w:val="3"/>
        <w:keepNext w:val="0"/>
        <w:keepLines w:val="0"/>
        <w:pageBreakBefore w:val="0"/>
        <w:wordWrap/>
        <w:topLinePunct w:val="0"/>
        <w:bidi w:val="0"/>
        <w:spacing w:line="600" w:lineRule="exact"/>
        <w:ind w:firstLine="410" w:firstLineChars="100"/>
        <w:jc w:val="left"/>
        <w:rPr>
          <w:rFonts w:hint="eastAsia" w:ascii="仿宋_GB2312" w:hAnsi="仿宋_GB2312" w:eastAsia="仿宋_GB2312" w:cs="仿宋_GB2312"/>
          <w:spacing w:val="45"/>
          <w:sz w:val="32"/>
          <w:szCs w:val="32"/>
          <w:lang w:eastAsia="zh-CN"/>
        </w:rPr>
      </w:pPr>
    </w:p>
    <w:p>
      <w:pPr>
        <w:pStyle w:val="3"/>
        <w:keepNext w:val="0"/>
        <w:keepLines w:val="0"/>
        <w:pageBreakBefore w:val="0"/>
        <w:wordWrap/>
        <w:topLinePunct w:val="0"/>
        <w:bidi w:val="0"/>
        <w:spacing w:line="600" w:lineRule="exact"/>
        <w:ind w:firstLine="410" w:firstLineChars="100"/>
        <w:jc w:val="left"/>
        <w:rPr>
          <w:rFonts w:hint="eastAsia" w:ascii="仿宋_GB2312" w:hAnsi="仿宋_GB2312" w:eastAsia="仿宋_GB2312" w:cs="仿宋_GB2312"/>
          <w:spacing w:val="45"/>
          <w:sz w:val="32"/>
          <w:szCs w:val="32"/>
          <w:lang w:eastAsia="zh-CN"/>
        </w:rPr>
      </w:pPr>
    </w:p>
    <w:p>
      <w:pPr>
        <w:pStyle w:val="3"/>
        <w:keepNext w:val="0"/>
        <w:keepLines w:val="0"/>
        <w:pageBreakBefore w:val="0"/>
        <w:wordWrap/>
        <w:topLinePunct w:val="0"/>
        <w:bidi w:val="0"/>
        <w:spacing w:line="600" w:lineRule="exact"/>
        <w:ind w:firstLine="410" w:firstLineChars="100"/>
        <w:jc w:val="left"/>
        <w:rPr>
          <w:rFonts w:hint="eastAsia" w:ascii="仿宋_GB2312" w:hAnsi="仿宋_GB2312" w:eastAsia="仿宋_GB2312" w:cs="仿宋_GB2312"/>
          <w:spacing w:val="45"/>
          <w:sz w:val="32"/>
          <w:szCs w:val="32"/>
          <w:lang w:eastAsia="zh-CN"/>
        </w:rPr>
      </w:pPr>
      <w:r>
        <w:rPr>
          <w:rFonts w:hint="eastAsia" w:ascii="仿宋_GB2312" w:hAnsi="仿宋_GB2312" w:eastAsia="仿宋_GB2312" w:cs="仿宋_GB2312"/>
          <w:spacing w:val="45"/>
          <w:sz w:val="32"/>
          <w:szCs w:val="32"/>
          <w:lang w:eastAsia="zh-CN"/>
        </w:rPr>
        <w:t>（此件主动公开）</w:t>
      </w:r>
    </w:p>
    <w:p>
      <w:pPr>
        <w:pStyle w:val="4"/>
        <w:rPr>
          <w:rFonts w:hint="eastAsia"/>
          <w:lang w:eastAsia="zh-CN"/>
        </w:rPr>
      </w:pPr>
    </w:p>
    <w:p>
      <w:pPr>
        <w:keepNext w:val="0"/>
        <w:keepLines w:val="0"/>
        <w:pageBreakBefore w:val="0"/>
        <w:wordWrap/>
        <w:topLinePunct w:val="0"/>
        <w:bidi w:val="0"/>
        <w:spacing w:line="560" w:lineRule="exact"/>
        <w:jc w:val="left"/>
        <w:rPr>
          <w:rFonts w:hint="eastAsia"/>
          <w:lang w:eastAsia="zh-CN"/>
        </w:rPr>
      </w:pPr>
    </w:p>
    <w:p>
      <w:pPr>
        <w:keepNext w:val="0"/>
        <w:keepLines w:val="0"/>
        <w:pageBreakBefore w:val="0"/>
        <w:wordWrap/>
        <w:topLinePunct w:val="0"/>
        <w:bidi w:val="0"/>
        <w:spacing w:line="560" w:lineRule="exact"/>
        <w:jc w:val="left"/>
        <w:rPr>
          <w:rFonts w:hint="eastAsia"/>
          <w:lang w:eastAsia="zh-CN"/>
        </w:rPr>
      </w:pPr>
    </w:p>
    <w:p>
      <w:pPr>
        <w:tabs>
          <w:tab w:val="left" w:pos="731"/>
        </w:tabs>
        <w:bidi w:val="0"/>
        <w:jc w:val="left"/>
        <w:rPr>
          <w:rFonts w:hint="eastAsia" w:ascii="仿宋_GB2312" w:hAnsi="宋体" w:eastAsia="仿宋_GB2312"/>
          <w:sz w:val="32"/>
          <w:szCs w:val="32"/>
        </w:rPr>
      </w:pPr>
      <w:r>
        <w:rPr>
          <w:rFonts w:hint="eastAsia" w:eastAsia="宋体"/>
          <w:sz w:val="32"/>
          <w:szCs w:val="32"/>
          <w:lang w:val="en-US" w:eastAsia="zh-CN"/>
        </w:rPr>
        <w:t xml:space="preserve">    </w:t>
      </w:r>
    </w:p>
    <w:p>
      <w:pPr>
        <w:spacing w:line="200" w:lineRule="exact"/>
        <w:rPr>
          <w:rFonts w:hint="eastAsia" w:ascii="仿宋_GB2312" w:hAnsi="宋体" w:eastAsia="仿宋_GB2312"/>
          <w:sz w:val="32"/>
          <w:szCs w:val="32"/>
        </w:rPr>
      </w:pPr>
    </w:p>
    <w:p>
      <w:pPr>
        <w:spacing w:line="200" w:lineRule="exact"/>
        <w:rPr>
          <w:rFonts w:hint="eastAsia" w:ascii="仿宋_GB2312" w:hAnsi="宋体" w:eastAsia="仿宋_GB2312"/>
          <w:sz w:val="32"/>
          <w:szCs w:val="32"/>
        </w:rPr>
      </w:pPr>
    </w:p>
    <w:p>
      <w:pPr>
        <w:spacing w:line="200" w:lineRule="exact"/>
        <w:rPr>
          <w:rFonts w:hint="eastAsia" w:ascii="仿宋_GB2312" w:hAnsi="宋体" w:eastAsia="仿宋_GB2312"/>
          <w:sz w:val="32"/>
          <w:szCs w:val="32"/>
        </w:rPr>
      </w:pPr>
    </w:p>
    <w:p>
      <w:pPr>
        <w:spacing w:line="200" w:lineRule="exact"/>
        <w:rPr>
          <w:rFonts w:hint="eastAsia" w:ascii="仿宋_GB2312" w:hAnsi="宋体" w:eastAsia="仿宋_GB2312"/>
          <w:sz w:val="32"/>
          <w:szCs w:val="32"/>
        </w:rPr>
      </w:pPr>
    </w:p>
    <w:p>
      <w:pPr>
        <w:spacing w:line="200" w:lineRule="exact"/>
        <w:rPr>
          <w:rFonts w:hint="eastAsia" w:ascii="仿宋_GB2312" w:hAnsi="宋体" w:eastAsia="仿宋_GB2312"/>
          <w:sz w:val="32"/>
          <w:szCs w:val="32"/>
        </w:rPr>
      </w:pPr>
    </w:p>
    <w:p>
      <w:pPr>
        <w:spacing w:line="200" w:lineRule="exact"/>
        <w:rPr>
          <w:rFonts w:hint="eastAsia" w:ascii="仿宋_GB2312" w:hAnsi="宋体" w:eastAsia="仿宋_GB2312"/>
          <w:sz w:val="32"/>
          <w:szCs w:val="32"/>
        </w:rPr>
      </w:pPr>
    </w:p>
    <w:tbl>
      <w:tblPr>
        <w:tblStyle w:val="9"/>
        <w:tblpPr w:leftFromText="180" w:rightFromText="180" w:vertAnchor="text" w:horzAnchor="page" w:tblpX="1615"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911" w:type="dxa"/>
            <w:tcBorders>
              <w:top w:val="single" w:color="auto" w:sz="8" w:space="0"/>
              <w:left w:val="nil"/>
              <w:bottom w:val="single" w:color="auto" w:sz="8" w:space="0"/>
              <w:right w:val="nil"/>
            </w:tcBorders>
            <w:noWrap w:val="0"/>
            <w:vAlign w:val="top"/>
          </w:tcPr>
          <w:p>
            <w:pPr>
              <w:keepNext w:val="0"/>
              <w:keepLines w:val="0"/>
              <w:pageBreakBefore w:val="0"/>
              <w:widowControl w:val="0"/>
              <w:kinsoku/>
              <w:wordWrap/>
              <w:topLinePunct w:val="0"/>
              <w:bidi w:val="0"/>
              <w:spacing w:line="600" w:lineRule="exact"/>
              <w:ind w:firstLine="280" w:firstLineChars="1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安溪县退役军人事务局办公室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tc>
      </w:tr>
    </w:tbl>
    <w:p>
      <w:pPr>
        <w:tabs>
          <w:tab w:val="left" w:pos="731"/>
        </w:tabs>
        <w:bidi w:val="0"/>
        <w:jc w:val="left"/>
        <w:sectPr>
          <w:footerReference r:id="rId5" w:type="default"/>
          <w:pgSz w:w="11900" w:h="16820"/>
          <w:pgMar w:top="1644" w:right="1474" w:bottom="1417" w:left="1587" w:header="0" w:footer="1149" w:gutter="0"/>
          <w:pgNumType w:fmt="decimal"/>
          <w:cols w:space="720" w:num="1"/>
        </w:sectPr>
      </w:pPr>
    </w:p>
    <w:p>
      <w:pPr>
        <w:bidi w:val="0"/>
        <w:rPr>
          <w:rFonts w:hint="eastAsia"/>
          <w:lang w:eastAsia="zh-CN"/>
        </w:rPr>
      </w:pPr>
    </w:p>
    <w:sectPr>
      <w:footerReference r:id="rId6" w:type="default"/>
      <w:pgSz w:w="11900" w:h="16820"/>
      <w:pgMar w:top="1417" w:right="1417" w:bottom="1417"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宋体" w:hAnsi="宋体" w:eastAsia="宋体" w:cs="宋体"/>
        <w:spacing w:val="59"/>
        <w:sz w:val="31"/>
        <w:szCs w:val="3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5MmZhZjMxZTZlMjU1ZGVhMjcyOGI1MjMyNzY1ODMifQ=="/>
  </w:docVars>
  <w:rsids>
    <w:rsidRoot w:val="00000000"/>
    <w:rsid w:val="00225378"/>
    <w:rsid w:val="03D64DF8"/>
    <w:rsid w:val="057F055B"/>
    <w:rsid w:val="05D21624"/>
    <w:rsid w:val="06BB2083"/>
    <w:rsid w:val="07093593"/>
    <w:rsid w:val="08B135FF"/>
    <w:rsid w:val="08E31003"/>
    <w:rsid w:val="095A1218"/>
    <w:rsid w:val="1A3D5C3D"/>
    <w:rsid w:val="1B74483B"/>
    <w:rsid w:val="1BAF7B19"/>
    <w:rsid w:val="1D385D84"/>
    <w:rsid w:val="1FBE0DBE"/>
    <w:rsid w:val="23B03ECC"/>
    <w:rsid w:val="24013373"/>
    <w:rsid w:val="2BDDAA39"/>
    <w:rsid w:val="2DD438A6"/>
    <w:rsid w:val="32EB2795"/>
    <w:rsid w:val="37FF0878"/>
    <w:rsid w:val="37FF2825"/>
    <w:rsid w:val="38B56F92"/>
    <w:rsid w:val="3EEECA85"/>
    <w:rsid w:val="412840A5"/>
    <w:rsid w:val="42DB3FE5"/>
    <w:rsid w:val="43573C2A"/>
    <w:rsid w:val="45461DC5"/>
    <w:rsid w:val="45E211FD"/>
    <w:rsid w:val="48871F18"/>
    <w:rsid w:val="4AB1583E"/>
    <w:rsid w:val="4C944D74"/>
    <w:rsid w:val="4E7F7BF0"/>
    <w:rsid w:val="4FFD47BE"/>
    <w:rsid w:val="51A47653"/>
    <w:rsid w:val="53D22D41"/>
    <w:rsid w:val="53EE7D4F"/>
    <w:rsid w:val="59126EAD"/>
    <w:rsid w:val="5A757629"/>
    <w:rsid w:val="5AC021B2"/>
    <w:rsid w:val="5BDD29F9"/>
    <w:rsid w:val="5CFDA45E"/>
    <w:rsid w:val="5DA76336"/>
    <w:rsid w:val="5EFE417D"/>
    <w:rsid w:val="5FA45F93"/>
    <w:rsid w:val="62C240B5"/>
    <w:rsid w:val="64C7124A"/>
    <w:rsid w:val="65916B16"/>
    <w:rsid w:val="67FCE5FB"/>
    <w:rsid w:val="6A246DAA"/>
    <w:rsid w:val="6BFD5116"/>
    <w:rsid w:val="6FB5053F"/>
    <w:rsid w:val="731358A4"/>
    <w:rsid w:val="75DFB99B"/>
    <w:rsid w:val="77EF2B90"/>
    <w:rsid w:val="796E73C3"/>
    <w:rsid w:val="7B7203F2"/>
    <w:rsid w:val="7C1C31B5"/>
    <w:rsid w:val="7CA64EF4"/>
    <w:rsid w:val="7CFF576A"/>
    <w:rsid w:val="7DBA7103"/>
    <w:rsid w:val="7E6F71BB"/>
    <w:rsid w:val="7E7FB89D"/>
    <w:rsid w:val="7EC34423"/>
    <w:rsid w:val="7F2EC1BF"/>
    <w:rsid w:val="7F7BE254"/>
    <w:rsid w:val="7FDEA3D2"/>
    <w:rsid w:val="7FDFBAA4"/>
    <w:rsid w:val="930F127D"/>
    <w:rsid w:val="9FDDC093"/>
    <w:rsid w:val="9FF2FE1A"/>
    <w:rsid w:val="AF9D337B"/>
    <w:rsid w:val="AFF32990"/>
    <w:rsid w:val="BFFFA869"/>
    <w:rsid w:val="DEFA47EF"/>
    <w:rsid w:val="DFBFEF79"/>
    <w:rsid w:val="E3DD9662"/>
    <w:rsid w:val="EFBF38EA"/>
    <w:rsid w:val="F3EF34F2"/>
    <w:rsid w:val="F5FE0314"/>
    <w:rsid w:val="FAFF5FB2"/>
    <w:rsid w:val="FBE7B840"/>
    <w:rsid w:val="FD930DC0"/>
    <w:rsid w:val="FDF334CF"/>
    <w:rsid w:val="FE6B3877"/>
    <w:rsid w:val="FEFF9029"/>
    <w:rsid w:val="FF7BB3CB"/>
    <w:rsid w:val="FFAFDCB3"/>
    <w:rsid w:val="FFBF6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rPr>
  </w:style>
  <w:style w:type="paragraph" w:styleId="3">
    <w:name w:val="Balloon Text"/>
    <w:basedOn w:val="1"/>
    <w:next w:val="4"/>
    <w:qFormat/>
    <w:uiPriority w:val="0"/>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2"/>
    <w:qFormat/>
    <w:uiPriority w:val="0"/>
    <w:pPr>
      <w:ind w:firstLine="420" w:firstLineChars="200"/>
    </w:pPr>
    <w:rPr>
      <w:rFonts w:ascii="Calibri" w:hAnsi="Calibri" w:eastAsia="宋体" w:cs="Times New Roman"/>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rot="0" vertOverflow="overflow" horzOverflow="overflow" vert="horz" wrap="square" lIns="91440" tIns="45720" rIns="91440" bIns="45720" numCol="1" spcCol="0" rtlCol="0" fromWordArt="0" anchor="t" anchorCtr="0" forceAA="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1452</Words>
  <Characters>1490</Characters>
  <TotalTime>88</TotalTime>
  <ScaleCrop>false</ScaleCrop>
  <LinksUpToDate>false</LinksUpToDate>
  <CharactersWithSpaces>1546</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2023-04-02T09:09:00Z</dcterms:created>
  <dc:creator>Kingsoft-PDF</dc:creator>
  <cp:lastModifiedBy>user</cp:lastModifiedBy>
  <cp:lastPrinted>2026-01-01T09:38:00Z</cp:lastPrinted>
  <dcterms:modified xsi:type="dcterms:W3CDTF">2025-12-31T10:07:03Z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2023-03-27T17:09:47Z</vt:filetime>
  </property>
  <property fmtid="{D5CDD505-2E9C-101B-9397-08002B2CF9AE}" pid="4" name="UsrData">
    <vt:lpwstr>64215d49a2d7b00015133e95</vt:lpwstr>
  </property>
  <property fmtid="{D5CDD505-2E9C-101B-9397-08002B2CF9AE}" pid="5" name="KSOProductBuildVer">
    <vt:lpwstr>2052-11.8.2.12128</vt:lpwstr>
  </property>
  <property fmtid="{D5CDD505-2E9C-101B-9397-08002B2CF9AE}" pid="6" name="ICV">
    <vt:lpwstr>3D2184BF9F69465E9C535FFCCBD37E04_13</vt:lpwstr>
  </property>
  <property fmtid="{D5CDD505-2E9C-101B-9397-08002B2CF9AE}" pid="7" name="KSOTemplateDocerSaveRecord">
    <vt:lpwstr>eyJoZGlkIjoiM2NjMDdlNDA2NWZiZTVlZWVhMjBkZmNjODk4MDFjM2IiLCJ1c2VySWQiOiI3NTQzNzA3MjQifQ==</vt:lpwstr>
  </property>
</Properties>
</file>