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方正黑体简体" w:hAnsi="方正黑体简体" w:eastAsia="方正黑体简体" w:cs="方正黑体简体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</w:rPr>
        <w:t>附件4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房屋建筑工程管理工作县对乡（镇）绩效评价指标体系</w:t>
      </w:r>
    </w:p>
    <w:bookmarkEnd w:id="0"/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5"/>
        <w:tblW w:w="139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3"/>
        <w:gridCol w:w="3327"/>
        <w:gridCol w:w="6245"/>
        <w:gridCol w:w="993"/>
        <w:gridCol w:w="24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</w:rPr>
              <w:t>序号</w:t>
            </w:r>
          </w:p>
        </w:tc>
        <w:tc>
          <w:tcPr>
            <w:tcW w:w="3327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</w:rPr>
              <w:t>评价指标</w:t>
            </w:r>
          </w:p>
        </w:tc>
        <w:tc>
          <w:tcPr>
            <w:tcW w:w="6245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</w:rPr>
              <w:t>评价内容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</w:rPr>
              <w:t>分值</w:t>
            </w:r>
          </w:p>
        </w:tc>
        <w:tc>
          <w:tcPr>
            <w:tcW w:w="2494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</w:rPr>
              <w:t>指标采集牵头单位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1</w:t>
            </w:r>
          </w:p>
        </w:tc>
        <w:tc>
          <w:tcPr>
            <w:tcW w:w="3327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城乡规划执行</w:t>
            </w:r>
          </w:p>
        </w:tc>
        <w:tc>
          <w:tcPr>
            <w:tcW w:w="6245" w:type="dxa"/>
            <w:noWrap w:val="0"/>
            <w:vAlign w:val="center"/>
          </w:tcPr>
          <w:p>
            <w:pPr>
              <w:spacing w:line="540" w:lineRule="exact"/>
              <w:jc w:val="left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房屋建筑工程用地、规划</w:t>
            </w: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lang w:val="en-US" w:eastAsia="zh-CN"/>
              </w:rPr>
              <w:t>审批</w:t>
            </w: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、规划验收审批合规情况。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15</w:t>
            </w:r>
          </w:p>
        </w:tc>
        <w:tc>
          <w:tcPr>
            <w:tcW w:w="2494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县</w:t>
            </w: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lang w:val="en-US" w:eastAsia="zh-CN"/>
              </w:rPr>
              <w:t>自然资源</w:t>
            </w: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2</w:t>
            </w:r>
          </w:p>
        </w:tc>
        <w:tc>
          <w:tcPr>
            <w:tcW w:w="3327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违法占地处置</w:t>
            </w:r>
          </w:p>
        </w:tc>
        <w:tc>
          <w:tcPr>
            <w:tcW w:w="6245" w:type="dxa"/>
            <w:noWrap w:val="0"/>
            <w:vAlign w:val="center"/>
          </w:tcPr>
          <w:p>
            <w:pPr>
              <w:spacing w:line="540" w:lineRule="exact"/>
              <w:jc w:val="left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年度新增违法占地房屋建筑工程及部门联动查处，各方责任主体追究，违法房屋建筑工程“零增长”情况。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15</w:t>
            </w:r>
          </w:p>
        </w:tc>
        <w:tc>
          <w:tcPr>
            <w:tcW w:w="2494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default" w:ascii="方正仿宋简体" w:hAnsi="方正仿宋简体" w:eastAsia="方正仿宋简体" w:cs="方正仿宋简体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县</w:t>
            </w: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lang w:val="en-US" w:eastAsia="zh-CN"/>
              </w:rPr>
              <w:t>自然资源</w:t>
            </w: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局</w:t>
            </w: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lang w:val="en-US" w:eastAsia="zh-CN"/>
              </w:rPr>
              <w:t>县农业农村局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3</w:t>
            </w:r>
          </w:p>
        </w:tc>
        <w:tc>
          <w:tcPr>
            <w:tcW w:w="3327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违法建设处置</w:t>
            </w:r>
          </w:p>
        </w:tc>
        <w:tc>
          <w:tcPr>
            <w:tcW w:w="6245" w:type="dxa"/>
            <w:noWrap w:val="0"/>
            <w:vAlign w:val="center"/>
          </w:tcPr>
          <w:p>
            <w:pPr>
              <w:spacing w:line="540" w:lineRule="exact"/>
              <w:jc w:val="left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年度新增违法建设房屋建筑工程及部门联动查处，各方责任主体追究，违法房屋建筑工程“零增长”情况。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15</w:t>
            </w:r>
          </w:p>
        </w:tc>
        <w:tc>
          <w:tcPr>
            <w:tcW w:w="2494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县城市管理局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4</w:t>
            </w:r>
          </w:p>
        </w:tc>
        <w:tc>
          <w:tcPr>
            <w:tcW w:w="3327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规范农村宅基地审批管理</w:t>
            </w:r>
          </w:p>
        </w:tc>
        <w:tc>
          <w:tcPr>
            <w:tcW w:w="6245" w:type="dxa"/>
            <w:noWrap w:val="0"/>
            <w:vAlign w:val="center"/>
          </w:tcPr>
          <w:p>
            <w:pPr>
              <w:spacing w:line="540" w:lineRule="exact"/>
              <w:jc w:val="left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乡镇建立并落实宅基地建房审批制度、现场巡查和竣工验收制度情况。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15</w:t>
            </w:r>
          </w:p>
        </w:tc>
        <w:tc>
          <w:tcPr>
            <w:tcW w:w="2494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县农业农村局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5</w:t>
            </w:r>
          </w:p>
        </w:tc>
        <w:tc>
          <w:tcPr>
            <w:tcW w:w="3327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网格化管理落实</w:t>
            </w:r>
          </w:p>
        </w:tc>
        <w:tc>
          <w:tcPr>
            <w:tcW w:w="6245" w:type="dxa"/>
            <w:noWrap w:val="0"/>
            <w:vAlign w:val="center"/>
          </w:tcPr>
          <w:p>
            <w:pPr>
              <w:spacing w:line="540" w:lineRule="exact"/>
              <w:jc w:val="left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落实辖区房屋建筑工程网格化管理情况，包括方案制定、组织领导、网格划定、人员配备、保障措施，以及部门抄·告信息共享，问题发现、组织核实、处置报告、立案查处、协调督办、结案反馈工作流程落实等情况。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30</w:t>
            </w:r>
          </w:p>
        </w:tc>
        <w:tc>
          <w:tcPr>
            <w:tcW w:w="2494" w:type="dxa"/>
            <w:vMerge w:val="restart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县住建局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6</w:t>
            </w:r>
          </w:p>
        </w:tc>
        <w:tc>
          <w:tcPr>
            <w:tcW w:w="3327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房屋建筑工程安全</w:t>
            </w:r>
          </w:p>
        </w:tc>
        <w:tc>
          <w:tcPr>
            <w:tcW w:w="6245" w:type="dxa"/>
            <w:noWrap w:val="0"/>
            <w:vAlign w:val="center"/>
          </w:tcPr>
          <w:p>
            <w:pPr>
              <w:spacing w:line="540" w:lineRule="exact"/>
              <w:jc w:val="left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辖区房屋建筑工程安全运行情况，是否发生质量安全事故、群体性事件等。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10</w:t>
            </w:r>
          </w:p>
        </w:tc>
        <w:tc>
          <w:tcPr>
            <w:tcW w:w="2494" w:type="dxa"/>
            <w:vMerge w:val="continue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0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方正黑体简体" w:hAnsi="方正黑体简体" w:eastAsia="方正黑体简体" w:cs="方正黑体简体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8"/>
                <w:szCs w:val="28"/>
              </w:rPr>
              <w:t>总分</w:t>
            </w:r>
          </w:p>
        </w:tc>
        <w:tc>
          <w:tcPr>
            <w:tcW w:w="624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方正黑体简体" w:hAnsi="方正黑体简体" w:eastAsia="方正黑体简体" w:cs="方正黑体简体"/>
                <w:sz w:val="28"/>
                <w:szCs w:val="28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方正黑体简体" w:hAnsi="方正黑体简体" w:eastAsia="方正黑体简体" w:cs="方正黑体简体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8"/>
                <w:szCs w:val="28"/>
              </w:rPr>
              <w:t>100</w:t>
            </w:r>
          </w:p>
        </w:tc>
        <w:tc>
          <w:tcPr>
            <w:tcW w:w="2494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方正黑体简体" w:hAnsi="方正黑体简体" w:eastAsia="方正黑体简体" w:cs="方正黑体简体"/>
                <w:sz w:val="28"/>
                <w:szCs w:val="28"/>
              </w:rPr>
            </w:pPr>
          </w:p>
        </w:tc>
      </w:tr>
    </w:tbl>
    <w:p>
      <w:pPr>
        <w:spacing w:line="560" w:lineRule="exact"/>
        <w:rPr>
          <w:rFonts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sz w:val="28"/>
          <w:szCs w:val="28"/>
        </w:rPr>
        <w:t>备注：</w:t>
      </w:r>
      <w:r>
        <w:rPr>
          <w:rFonts w:hint="eastAsia" w:ascii="方正楷体简体" w:hAnsi="方正楷体简体" w:eastAsia="方正楷体简体" w:cs="方正楷体简体"/>
          <w:sz w:val="28"/>
          <w:szCs w:val="28"/>
        </w:rPr>
        <w:t>由各指标采集单位根据年度工作重点，进一步细化评价内容及分值，赋分后报县住建局汇总。各乡（镇）此项工作绩效得分按公式计算得出：绩效得分=乡（镇）总分/100*绩效分值。</w:t>
      </w:r>
    </w:p>
    <w:p>
      <w:pPr>
        <w:pStyle w:val="2"/>
        <w:rPr>
          <w:rFonts w:ascii="方正仿宋简体" w:hAnsi="方正仿宋简体" w:eastAsia="方正仿宋简体" w:cs="方正仿宋简体"/>
          <w:sz w:val="32"/>
          <w:szCs w:val="32"/>
        </w:rPr>
      </w:pPr>
    </w:p>
    <w:p/>
    <w:sectPr>
      <w:footerReference r:id="rId3" w:type="default"/>
      <w:footerReference r:id="rId4" w:type="even"/>
      <w:pgSz w:w="16838" w:h="11906" w:orient="landscape"/>
      <w:pgMar w:top="1531" w:right="1587" w:bottom="1417" w:left="1587" w:header="851" w:footer="992" w:gutter="0"/>
      <w:pgNumType w:fmt="numberInDash"/>
      <w:cols w:space="720" w:num="1"/>
      <w:rtlGutter w:val="0"/>
      <w:docGrid w:type="lines" w:linePitch="33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简体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- 19 -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- 19 -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10 -</w:t>
    </w:r>
    <w:r>
      <w:rPr>
        <w:rFonts w:ascii="宋体" w:hAnsi="宋体"/>
        <w:sz w:val="28"/>
        <w:szCs w:val="28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5344B2"/>
    <w:rsid w:val="1053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200" w:leftChars="200"/>
    </w:pPr>
  </w:style>
  <w:style w:type="paragraph" w:styleId="4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2021-07-07T02:08:00Z</dcterms:created>
  <dc:creator>Administrator</dc:creator>
  <cp:lastModifiedBy>Administrator</cp:lastModifiedBy>
  <dcterms:modified xsi:type="dcterms:W3CDTF">2021-07-07T02:09:44Z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6CC9D6647914498B8D20B62F7CD81B63</vt:lpwstr>
  </property>
</Properties>
</file>