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Lines="50"/>
      </w:pPr>
    </w:p>
    <w:p>
      <w:pPr>
        <w:spacing w:beforeLines="50"/>
        <w:jc w:val="center"/>
        <w:rPr>
          <w:rFonts w:ascii="仿宋_GB2312" w:hAnsi="新宋体" w:eastAsia="仿宋_GB2312"/>
          <w:sz w:val="32"/>
          <w:szCs w:val="32"/>
        </w:rPr>
      </w:pPr>
      <w:r>
        <w:rPr>
          <w:rFonts w:hint="eastAsia" w:ascii="仿宋_GB2312" w:hAnsi="宋体" w:eastAsia="仿宋_GB2312"/>
          <w:sz w:val="32"/>
          <w:szCs w:val="32"/>
        </w:rPr>
        <w:t>安建</w:t>
      </w:r>
      <w:r>
        <w:rPr>
          <w:rFonts w:hint="eastAsia" w:ascii="仿宋_GB2312" w:hAnsi="新宋体" w:eastAsia="仿宋_GB2312"/>
          <w:sz w:val="32"/>
          <w:szCs w:val="32"/>
        </w:rPr>
        <w:t>〔2023〕</w:t>
      </w:r>
      <w:r>
        <w:rPr>
          <w:rFonts w:hint="eastAsia" w:ascii="仿宋_GB2312" w:hAnsi="宋体" w:eastAsia="仿宋_GB2312"/>
          <w:sz w:val="32"/>
          <w:szCs w:val="32"/>
        </w:rPr>
        <w:t>17号</w:t>
      </w:r>
    </w:p>
    <w:p>
      <w:pPr>
        <w:spacing w:afterLines="100" w:line="240" w:lineRule="exact"/>
        <w:rPr>
          <w:rFonts w:ascii="宋体" w:hAnsi="宋体"/>
          <w:bCs/>
        </w:rPr>
      </w:pPr>
    </w:p>
    <w:p>
      <w:pPr>
        <w:tabs>
          <w:tab w:val="left" w:pos="5535"/>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安溪县住房和城乡建设局关于印发《安溪县</w:t>
      </w:r>
    </w:p>
    <w:p>
      <w:pPr>
        <w:tabs>
          <w:tab w:val="left" w:pos="5535"/>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住建行业领域安全生产标准化提升专项</w:t>
      </w:r>
    </w:p>
    <w:p>
      <w:pPr>
        <w:tabs>
          <w:tab w:val="left" w:pos="5535"/>
        </w:tabs>
        <w:spacing w:line="640" w:lineRule="exact"/>
        <w:jc w:val="center"/>
        <w:rPr>
          <w:rFonts w:ascii="方正小标宋简体" w:eastAsia="方正小标宋简体"/>
          <w:sz w:val="44"/>
          <w:szCs w:val="44"/>
        </w:rPr>
      </w:pPr>
      <w:r>
        <w:rPr>
          <w:rFonts w:hint="eastAsia" w:ascii="方正小标宋简体" w:eastAsia="方正小标宋简体"/>
          <w:sz w:val="44"/>
          <w:szCs w:val="44"/>
        </w:rPr>
        <w:t>行动2023年巩固提高方案》的通知</w:t>
      </w:r>
    </w:p>
    <w:p>
      <w:pPr>
        <w:spacing w:beforeLines="150" w:line="560" w:lineRule="exact"/>
        <w:rPr>
          <w:rFonts w:ascii="仿宋_GB2312" w:hAnsi="仿宋" w:eastAsia="仿宋_GB2312" w:cs="仿宋"/>
          <w:bCs/>
          <w:sz w:val="32"/>
          <w:szCs w:val="32"/>
        </w:rPr>
      </w:pPr>
      <w:r>
        <w:rPr>
          <w:rFonts w:ascii="仿宋_GB2312" w:hAnsi="仿宋" w:eastAsia="仿宋_GB2312" w:cs="仿宋"/>
          <w:bCs/>
          <w:sz w:val="32"/>
          <w:szCs w:val="32"/>
        </w:rPr>
        <w:t>各</w:t>
      </w:r>
      <w:r>
        <w:rPr>
          <w:rFonts w:hint="eastAsia" w:ascii="仿宋_GB2312" w:hAnsi="仿宋" w:eastAsia="仿宋_GB2312" w:cs="仿宋"/>
          <w:bCs/>
          <w:sz w:val="32"/>
          <w:szCs w:val="32"/>
        </w:rPr>
        <w:t>相关单位</w:t>
      </w:r>
      <w:r>
        <w:rPr>
          <w:rFonts w:ascii="仿宋_GB2312" w:hAnsi="仿宋" w:eastAsia="仿宋_GB2312" w:cs="仿宋"/>
          <w:bCs/>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现将《安溪县住建行业领域安全生产标准化提升专项行动2023年巩固提高方案》印发给你们，请认真贯彻执行。</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right="643" w:rightChars="306" w:firstLine="640" w:firstLineChars="200"/>
        <w:jc w:val="right"/>
        <w:rPr>
          <w:rFonts w:ascii="仿宋_GB2312" w:eastAsia="仿宋_GB2312" w:cs="Times New Roman"/>
          <w:color w:val="000000"/>
          <w:sz w:val="32"/>
          <w:szCs w:val="32"/>
        </w:rPr>
      </w:pPr>
      <w:r>
        <w:rPr>
          <w:rFonts w:hint="eastAsia" w:ascii="仿宋_GB2312" w:eastAsia="仿宋_GB2312"/>
          <w:sz w:val="32"/>
          <w:szCs w:val="32"/>
        </w:rPr>
        <w:t xml:space="preserve">                         </w:t>
      </w:r>
      <w:r>
        <w:rPr>
          <w:rFonts w:hint="eastAsia" w:ascii="仿宋_GB2312" w:eastAsia="仿宋_GB2312" w:cs="仿宋_GB2312"/>
          <w:color w:val="000000"/>
          <w:sz w:val="32"/>
          <w:szCs w:val="32"/>
        </w:rPr>
        <w:t>安溪县住房和城乡建设局</w:t>
      </w:r>
    </w:p>
    <w:p>
      <w:pPr>
        <w:tabs>
          <w:tab w:val="left" w:pos="5680"/>
        </w:tabs>
        <w:spacing w:line="560" w:lineRule="exact"/>
        <w:ind w:right="223" w:rightChars="106" w:firstLine="640" w:firstLineChars="200"/>
        <w:rPr>
          <w:rFonts w:ascii="仿宋_GB2312" w:eastAsia="仿宋_GB2312"/>
          <w:color w:val="000000"/>
          <w:sz w:val="32"/>
          <w:szCs w:val="32"/>
        </w:rPr>
      </w:pPr>
      <w:r>
        <w:rPr>
          <w:rFonts w:ascii="仿宋_GB2312" w:eastAsia="仿宋_GB2312" w:cs="仿宋_GB2312"/>
          <w:color w:val="000000"/>
          <w:sz w:val="32"/>
          <w:szCs w:val="32"/>
        </w:rPr>
        <w:t xml:space="preserve">                             20</w:t>
      </w:r>
      <w:r>
        <w:rPr>
          <w:rFonts w:hint="eastAsia" w:ascii="仿宋_GB2312" w:eastAsia="仿宋_GB2312" w:cs="仿宋_GB2312"/>
          <w:color w:val="000000"/>
          <w:sz w:val="32"/>
          <w:szCs w:val="32"/>
        </w:rPr>
        <w:t>23年3月10日</w:t>
      </w:r>
    </w:p>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此件主动公开</w:t>
      </w:r>
      <w:r>
        <w:rPr>
          <w:rFonts w:ascii="仿宋_GB2312" w:eastAsia="仿宋_GB2312"/>
          <w:sz w:val="32"/>
          <w:szCs w:val="32"/>
        </w:rPr>
        <w:t>）</w:t>
      </w:r>
    </w:p>
    <w:p>
      <w:pPr>
        <w:tabs>
          <w:tab w:val="left" w:pos="5535"/>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安溪县住建行业领域安全生产标准化提升</w:t>
      </w:r>
    </w:p>
    <w:p>
      <w:pPr>
        <w:tabs>
          <w:tab w:val="left" w:pos="5535"/>
        </w:tabs>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专项行动2023年巩固提高方案</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贯彻落实市、县关于安全生产标准化提升专项行动的决策部署，根据《泉州市住建行业领域安全生产标准化提升专项行动2023年巩固提高方案》（泉建建〔2023〕11号）和《安溪县安全生产管理委员会关于印发安溪县安全生产标准化提升专项行动2023年巩固提高方案的通知》（安生委〔2023〕3号）等文件精神，巩固提升全县住建行业领域安全生产标准化（以下简称“标准化”）建设工作成果，进一步增强我县住建系统企事业单位安全生产意识，落实企业安全生产主体责任，切实增强“控事故、保安全”能力，全力打造我县住建行业领域标准化提升2.0版本，现结合工作实际，制定本方案。</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一、总体要求</w:t>
      </w:r>
    </w:p>
    <w:p>
      <w:pPr>
        <w:spacing w:line="560" w:lineRule="exact"/>
        <w:ind w:firstLine="640" w:firstLineChars="200"/>
        <w:rPr>
          <w:rFonts w:hint="eastAsia" w:ascii="仿宋_GB2312" w:hAnsi="仿宋" w:eastAsia="仿宋_GB2312" w:cs="仿宋"/>
          <w:spacing w:val="-6"/>
          <w:sz w:val="32"/>
          <w:szCs w:val="32"/>
        </w:rPr>
      </w:pPr>
      <w:r>
        <w:rPr>
          <w:rFonts w:hint="eastAsia" w:ascii="仿宋_GB2312" w:hAnsi="仿宋" w:eastAsia="仿宋_GB2312" w:cs="仿宋"/>
          <w:sz w:val="32"/>
          <w:szCs w:val="32"/>
        </w:rPr>
        <w:t>以习近平新时代中国特色社会主义思想为指导，认真学习贯彻习近平总书记关于安全生产的一系列重要讲话精神，自觉落实国务院关于安全生产十五条硬措施，深刻理解标准化建设的内涵和意义，坚持以“巩固现有成果，保证达标质量，促进提档升级”为原则，用改革创新的措施、办法，强化企业安全生产主体责任，</w:t>
      </w:r>
      <w:r>
        <w:rPr>
          <w:rFonts w:hint="eastAsia" w:ascii="仿宋_GB2312" w:hAnsi="仿宋" w:eastAsia="仿宋_GB2312" w:cs="仿宋"/>
          <w:spacing w:val="-6"/>
          <w:sz w:val="32"/>
          <w:szCs w:val="32"/>
        </w:rPr>
        <w:t>全力推进住建行业领域企业（项目）自主创建、自觉运行、自我</w:t>
      </w:r>
      <w:r>
        <w:rPr>
          <w:rFonts w:hint="eastAsia" w:ascii="仿宋_GB2312" w:hAnsi="仿宋" w:eastAsia="仿宋_GB2312" w:cs="仿宋"/>
          <w:sz w:val="32"/>
          <w:szCs w:val="32"/>
        </w:rPr>
        <w:t>提升标准化，全面提升住建行业领域本质安全水平，从根本上防范各类生产安全</w:t>
      </w:r>
      <w:r>
        <w:rPr>
          <w:rFonts w:hint="eastAsia" w:ascii="仿宋_GB2312" w:hAnsi="仿宋" w:eastAsia="仿宋_GB2312" w:cs="仿宋"/>
          <w:spacing w:val="-6"/>
          <w:sz w:val="32"/>
          <w:szCs w:val="32"/>
        </w:rPr>
        <w:t>事故，为我县高质量发展提供良好的安全生产环境。</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二、主要目标</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突出以提升标准化建设质量为核心，巩固提升“全覆盖创建一家不漏，自主创建一家不掺假，评价挂牌一家不能滥，自觉运行提升一家不能掉，逐步实现一体化信息化，稳步扩大达标定级数量”的目标定位，健全完善“1+5”标准化提升工作体系（即标准化+网格化+信息化+双重预防机制+技术指导+约束激励），优化升级“3456”工作法（即对标创建、建立健全隐患排查治理“三张清单”、实行“四色”安全风险等级动态监管、推行现场“5S”管理、完善“六有”可视化安全警示标识，下同），运用信息化系统（即“泉州市安全生产标准化智慧管理平台”，下同）对房屋市政工程项目和物业服务项目（以下简称项目）标准化创建和运行实行动态管理，推动工程项目和物业服务项目标准化与信息化有机融合，2023年底前形成工程项目和物业服务项目标准化提升2.0版本，全县工程项目和物业服务项目安全生产水平明显提高、安全管理和事故防范能力明显增强、标准化建设和运行质量明显提高，实现“控事故、保安全”目标。</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三、重点任务</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围绕巩固提高的目标要求，督促引导项目以“管理标准化、现场标准化、操作标准化”为主要内容，以行业《安全生产标准化运行提升指南》为对照标准，强化安全管理体系建设、现场风险管控和作业行为管理，切实落实全员参与创建、全员岗位达标、全过程控制、全要素提升，持续建立健全自主管理、自我完善、持续改进的安全生产管理长效机制。</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（一）优化“一套标准规范”。</w:t>
      </w:r>
      <w:r>
        <w:rPr>
          <w:rFonts w:hint="eastAsia" w:ascii="仿宋_GB2312" w:hAnsi="仿宋" w:eastAsia="仿宋_GB2312" w:cs="仿宋"/>
          <w:sz w:val="32"/>
          <w:szCs w:val="32"/>
        </w:rPr>
        <w:t>要全面梳理项目安全生产检查清单、标准化运行提升指南、项目达标细则、专人检查导则等标准规范，系统总结标准化建设、提升、运行的经验做法，深入分析存在的突出问题和不足，进一步修订、完善和优化标准规范，要求各企业建立健全标准化提升内控体系，主要领导统筹规划全局工作方案，指定分管领导跟踪方案落地情况，项目经理落实落细项目标准化提升细节，安全员巡查标准化提升存在问题。主管部门要指定专人对各企业（项目）标准化提升工作进行检查指导，切实提升其科学性、可操作性和适用性。</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（二）推进“两化有机融合”。</w:t>
      </w:r>
      <w:r>
        <w:rPr>
          <w:rFonts w:hint="eastAsia" w:ascii="仿宋_GB2312" w:hAnsi="仿宋" w:eastAsia="仿宋_GB2312" w:cs="仿宋"/>
          <w:sz w:val="32"/>
          <w:szCs w:val="32"/>
        </w:rPr>
        <w:t>要督促、指导项目自觉运行信息化系统，推进标准化与信息化“两化”有机融合，将本项目基本信息和安全生产责任制、教育培训、现场管理、安全风险管控及隐患排查治理、应急管理等标准化创建和运行相关信息，认真录入信息化系统，建立“一企（项目）一档”，形成标准化创建、运行、提升数据库，利用平台实施在线辅助辨识评估、隐患排查治理在线预警、标准化运行在线监测监管，落实安全风险动态管控、隐患排查治理跟踪闭环和各类安全指标预测预警，实现全天候、全过程、全方位、全覆盖动态监管。</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（三）健全“三张清单”制度。</w:t>
      </w:r>
      <w:r>
        <w:rPr>
          <w:rFonts w:hint="eastAsia" w:ascii="仿宋_GB2312" w:hAnsi="仿宋" w:eastAsia="仿宋_GB2312" w:cs="仿宋"/>
          <w:sz w:val="32"/>
          <w:szCs w:val="32"/>
        </w:rPr>
        <w:t>要采取“一企（项目）一策”的方式，督促、指导项目，结合实际，对照行业《标准化提升运行指南》“三张清单”，编制本项目的检查清单、隐患清单、整改清单，明确各层级检查责任、检查频率及其整改要求，由各层级主要负责人带队，对照检查清单，定期、不定期开展自查自纠，实现动态闭环管理、定期清零。同时，要运用“三张清单”，对工程项目（每季度）和物业服务项目（每年）至少开展一次全覆盖检查，同步建立内档，形成安全监管闭环。</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（四）推行“四色风险”动态监管。</w:t>
      </w:r>
      <w:r>
        <w:rPr>
          <w:rFonts w:hint="eastAsia" w:ascii="仿宋_GB2312" w:hAnsi="仿宋" w:eastAsia="仿宋_GB2312" w:cs="仿宋"/>
          <w:sz w:val="32"/>
          <w:szCs w:val="32"/>
        </w:rPr>
        <w:t>要督促、指导项目按照行业《标准化提升运行指南》，以项目为整体，分部分项工程为单元，按照施工（管理）流程顺序，发动全员全方位、全过程辨识项目存在的安全风险，将辨识出的风险点分为重大、较大、一般、较低风险4个等级，分别用红、橙、黄、蓝四种颜色标示，强化项目 “四色”安全风险管控。要结合工程项目双随机考评和物业服务项目检查安全风险辨识和评估结果以及隐患排查治理情况，组织对项目安全生产状况进行整体评估，确定整体安全风险等级，并根据项目安全风险变化情况及时调整；针对不同风险等级的项目，确定不同的执法检查频次、重点内容等，全面推行“四色”安全风险差异化、精准化动态监管。</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（五）强化“5S”现场管理。</w:t>
      </w:r>
      <w:r>
        <w:rPr>
          <w:rFonts w:hint="eastAsia" w:ascii="仿宋_GB2312" w:hAnsi="仿宋" w:eastAsia="仿宋_GB2312" w:cs="仿宋"/>
          <w:sz w:val="32"/>
          <w:szCs w:val="32"/>
        </w:rPr>
        <w:t>要督促、指导项目对照行业《标准化提升运行指南》，结合标准化提升内控管理体系，加强以全员岗位达标为核心，全面推广运用现场“5S”管理法（整理、整顿、清扫、清洁、素养），建立全员标准化考评机制，逐岗逐人明确考评内容、考评标准、考评频次，推动生产现场一线员工自主管理、自我控制，及时采取相应防范措施进行处置，强化现场安全生产岗位责任和措施落实，持续增强项目现场本质安全。</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（六）完善“六有”警示标识。</w:t>
      </w:r>
      <w:r>
        <w:rPr>
          <w:rFonts w:hint="eastAsia" w:ascii="仿宋_GB2312" w:hAnsi="仿宋" w:eastAsia="仿宋_GB2312" w:cs="仿宋"/>
          <w:sz w:val="32"/>
          <w:szCs w:val="32"/>
        </w:rPr>
        <w:t>要督促、指导项目建立完善安全风险公告制度，区分办公区、生活区、加工区、施工现场等各类功能区，参照现场地上有标线、设备有铭牌、岗位有警示、作业有指令、管线有流向标、重要阀门或开关有挂牌的“六有”模式，逐一规范设置明显的“禁止、警告、指令、提示”等四类安全标识，配置安全管理看板，绘制红、橙、黄、蓝“四色”安全风险空间分布图，在醒目位置和重点区域分别设置安全风险公告栏，标明主要安全风险、可能引发事故隐患类别、事故后果、管控措施、应急措施及报告方式等内容，强化危险源监测和预警，提升安全目标、安全工（器）具、安全风险管控、隐患排查治理等现场可视化管理。</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四、实施步骤</w:t>
      </w:r>
    </w:p>
    <w:p>
      <w:pPr>
        <w:spacing w:line="560" w:lineRule="exact"/>
        <w:ind w:firstLine="643" w:firstLineChars="200"/>
        <w:rPr>
          <w:rFonts w:hint="eastAsia" w:ascii="楷体_GB2312" w:hAnsi="仿宋" w:eastAsia="楷体_GB2312" w:cs="仿宋"/>
          <w:b/>
          <w:sz w:val="32"/>
          <w:szCs w:val="32"/>
        </w:rPr>
      </w:pPr>
      <w:r>
        <w:rPr>
          <w:rFonts w:hint="eastAsia" w:ascii="楷体_GB2312" w:hAnsi="仿宋" w:eastAsia="楷体_GB2312" w:cs="仿宋"/>
          <w:b/>
          <w:sz w:val="32"/>
          <w:szCs w:val="32"/>
        </w:rPr>
        <w:t>（一）前期准备阶段（2023年3月初前）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要结合本项目实际，制定相应的方案，具体明确目标任务、进度安排和落实措施，县质安中心和物业股要进一步摸清辖区内项目底数，并逐家送达《关于加强安全生产标准化建设告知书》（附件1）、签订《关于加强安全生产标准化建设承诺书》（附件2），迅速将有关文件精神传达至所有项目有关单位，督促、指导项目有关单位编制2023年标准化创建、提升计划，层层动员部署，做足、做细各项前期准备工作。</w:t>
      </w:r>
    </w:p>
    <w:p>
      <w:pPr>
        <w:spacing w:line="560" w:lineRule="exact"/>
        <w:ind w:firstLine="643" w:firstLineChars="200"/>
        <w:rPr>
          <w:rFonts w:hint="eastAsia" w:ascii="楷体_GB2312" w:hAnsi="仿宋" w:eastAsia="楷体_GB2312" w:cs="仿宋"/>
          <w:b/>
          <w:sz w:val="32"/>
          <w:szCs w:val="32"/>
        </w:rPr>
      </w:pPr>
      <w:r>
        <w:rPr>
          <w:rFonts w:hint="eastAsia" w:ascii="楷体_GB2312" w:hAnsi="仿宋" w:eastAsia="楷体_GB2312" w:cs="仿宋"/>
          <w:b/>
          <w:sz w:val="32"/>
          <w:szCs w:val="32"/>
        </w:rPr>
        <w:t>（二）标杆提升阶段（2023年3月底前）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要系统总结标杆项目标准化创建和运行的成功经验做法，加大典型示范培育力度，按照“属地为主，县乡联动”、全行业领域企业（项目）全覆盖的原则，在原有标杆项目的基础上，进一步遴选一批标准化运行良好、安全管理规范、员工素质较高的项目，持续实施“个十百”标杆示范工程[打造5个以上标准化标杆项目、10个以上标准化合格项目（物业为示范岗位）、100个以上示范岗位（物业为标准化合格项目），详见附件3]，促进项目典型示范提质扩面，切实提升示范引领水平。</w:t>
      </w:r>
    </w:p>
    <w:p>
      <w:pPr>
        <w:spacing w:line="560" w:lineRule="exact"/>
        <w:ind w:firstLine="643" w:firstLineChars="200"/>
        <w:rPr>
          <w:rFonts w:hint="eastAsia" w:ascii="楷体_GB2312" w:hAnsi="仿宋" w:eastAsia="楷体_GB2312" w:cs="仿宋"/>
          <w:b/>
          <w:sz w:val="32"/>
          <w:szCs w:val="32"/>
        </w:rPr>
      </w:pPr>
      <w:r>
        <w:rPr>
          <w:rFonts w:hint="eastAsia" w:ascii="楷体_GB2312" w:hAnsi="仿宋" w:eastAsia="楷体_GB2312" w:cs="仿宋"/>
          <w:b/>
          <w:sz w:val="32"/>
          <w:szCs w:val="32"/>
        </w:rPr>
        <w:t>（三）重点攻坚阶段（2023年6月底前）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要强化“重点先行、集中攻坚”工作措施，分管领导抓重点，指派专人抓运行，突出以危险工艺、危险作业、危险场所和重大危险源、重大风险点为重点，组织全项目对照国家规范标准，2023年3月底前全面开展一次标准化自评，对自评不合格项、定级（达标）评审整改项，逐一落实整改提升，带动本单位、本项目标准化整体提档升级。</w:t>
      </w:r>
    </w:p>
    <w:p>
      <w:pPr>
        <w:spacing w:line="560" w:lineRule="exact"/>
        <w:ind w:firstLine="643" w:firstLineChars="200"/>
        <w:rPr>
          <w:rFonts w:hint="eastAsia" w:ascii="楷体_GB2312" w:hAnsi="仿宋" w:eastAsia="楷体_GB2312" w:cs="仿宋"/>
          <w:b/>
          <w:sz w:val="32"/>
          <w:szCs w:val="32"/>
        </w:rPr>
      </w:pPr>
      <w:r>
        <w:rPr>
          <w:rFonts w:hint="eastAsia" w:ascii="楷体_GB2312" w:hAnsi="仿宋" w:eastAsia="楷体_GB2312" w:cs="仿宋"/>
          <w:b/>
          <w:sz w:val="32"/>
          <w:szCs w:val="32"/>
        </w:rPr>
        <w:t>（四）全面推进阶段（2023年10月底前）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要按照项目全覆盖的要求，针对工程项目特点，实施分类指导，强化“一企（项目）一策”，深入梳理分析本项目标准化创建、运行、提升存在的突出问题和薄弱环节，全面复制推广标杆项目成功经验做法，充分运用“3456”工作法，借助信息化系统，对照运行指南，逐一查缺补漏，紧盯重大隐患排查治理、重大危险源监控、安全生产系统改造、应急能力提升、消防安全保障等重点要素，规范实施安全风险“四色”动态管控、建立健全隐患排查治理“三张清单”、强化生产经营现场“5S”管理、完善“六有”可视化警示标识，整体推进项目标准化全面提质增效。</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（五）总结完善阶段（2023年12月底前）</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要全面总结项目打造标准化提升2.0版本工作情况，系统归纳、提炼典型经验做法，深入分析工作推进过程中存在的共性问题和突出的个性问题，采取针对性强的整改措施，推动项目标准化提升与落实企业安全生产主体责任、双重预防机制建设、安全文化建设、监管执法等工作有机融合，完善推动标准化工作常态化机制建设，切实形成项目落实安全生产主体责任自我约束、持续改进的内生机制。</w:t>
      </w:r>
    </w:p>
    <w:p>
      <w:pPr>
        <w:spacing w:line="560" w:lineRule="exact"/>
        <w:ind w:firstLine="640" w:firstLineChars="200"/>
        <w:rPr>
          <w:rFonts w:hint="eastAsia" w:ascii="黑体" w:hAnsi="黑体" w:eastAsia="黑体" w:cs="仿宋"/>
          <w:sz w:val="32"/>
          <w:szCs w:val="32"/>
        </w:rPr>
      </w:pPr>
      <w:r>
        <w:rPr>
          <w:rFonts w:hint="eastAsia" w:ascii="黑体" w:hAnsi="黑体" w:eastAsia="黑体" w:cs="仿宋"/>
          <w:sz w:val="32"/>
          <w:szCs w:val="32"/>
        </w:rPr>
        <w:t>五、工作要求</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打造项目标准化提升2.0版本是持续强化项目安全生产主体责任落实、提高企业安全基础管理水平和保障能力的一项重大举措，各相关单位要高度重视，积极参与，主动作为，采取切实有效措施，狠抓各项工作落实。</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（一）提高思想认识，强化组织领导。</w:t>
      </w:r>
      <w:r>
        <w:rPr>
          <w:rFonts w:hint="eastAsia" w:ascii="仿宋_GB2312" w:hAnsi="仿宋" w:eastAsia="仿宋_GB2312" w:cs="仿宋"/>
          <w:sz w:val="32"/>
          <w:szCs w:val="32"/>
        </w:rPr>
        <w:t>要充分认识开展项目标准化提升专项行动巩固提高、打造2.0版本的重大意义，切实将专项行动作为2023年住建行业领域安全生产工作的一条主线、摆上重要议事日程，由项目单位主要负责人亲自谋划、亲自推动，定期、不定期组织专题研究，进一步调整充实组织领导机构、工作专班，指定分管领导具体负责协调日常工作，细化责任分工，按时保质保量完成各阶段工作任务，切实把各项工作抓细抓实、抓出成效。</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（二）优化业务培训，强化技术支撑。</w:t>
      </w:r>
      <w:r>
        <w:rPr>
          <w:rFonts w:hint="eastAsia" w:ascii="仿宋_GB2312" w:hAnsi="仿宋" w:eastAsia="仿宋_GB2312" w:cs="仿宋"/>
          <w:sz w:val="32"/>
          <w:szCs w:val="32"/>
        </w:rPr>
        <w:t>要围绕“做什么，怎么做”为主要内容，采取集中授课、现场观摩、场景模拟和交流答疑等方式，分期分批开办企业标准化提升专题培训班，分级分类组织安全监管人员和重点企业管理人员、技术人员等参加，通过深入开展专题业务培训，切实提高项目一线员工实施标准化提升实务技能，形成多层级、多维度技术支撑。</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（三）创新政策引导，强化激励约束。</w:t>
      </w:r>
      <w:r>
        <w:rPr>
          <w:rFonts w:hint="eastAsia" w:ascii="仿宋_GB2312" w:hAnsi="仿宋" w:eastAsia="仿宋_GB2312" w:cs="仿宋"/>
          <w:sz w:val="32"/>
          <w:szCs w:val="32"/>
        </w:rPr>
        <w:t>各相关项目单位要出台操作性强的项目标准化提升奖惩措施，综合运用经济政策、荣誉、信用等激励约束手段，调动企业自主提升的积极性和主动性，用市场化的方式，引导企业主动提升。</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（四）广泛宣传发动，强化舆论引导。</w:t>
      </w:r>
      <w:r>
        <w:rPr>
          <w:rFonts w:hint="eastAsia" w:ascii="仿宋_GB2312" w:hAnsi="仿宋" w:eastAsia="仿宋_GB2312" w:cs="仿宋"/>
          <w:sz w:val="32"/>
          <w:szCs w:val="32"/>
        </w:rPr>
        <w:t>要充分利用广播、电视、报纸、网络等传统媒体和微信公众号、抖音等新媒体作用，大力宣传项目标准化提升专项行动巩固提高的目的意义、目标任务和计划安排，深入挖掘先进经验、曝光典型案例，引导广大项目深刻认识标准化自主创建和自觉提升的重要性、必要性、紧迫性，强化企业主要负责人加强安全生产标准化建设的法定责任意识，加强职工安全教育，营造良好的舆论氛围。</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（五）规范达标评审，强化质量管控。</w:t>
      </w:r>
      <w:r>
        <w:rPr>
          <w:rFonts w:hint="eastAsia" w:ascii="仿宋_GB2312" w:hAnsi="仿宋" w:eastAsia="仿宋_GB2312" w:cs="仿宋"/>
          <w:sz w:val="32"/>
          <w:szCs w:val="32"/>
        </w:rPr>
        <w:t>要加强对企业标准化中介服务机构的监督管理，加强监督执法检查，督促指导中介服务机构严格服务人员管理、服务过程管控和服务质量控制，严厉查处弄虚作假、服务走过场、服务机构替代企业创建、咨询和服务“捆绑”收费、牟取不当利益等违规违纪违法行为，解决“为取证而取证”、“为达标而达标”造成的现场管理与制度建设“两层皮”的问题，保证企业标准化中介服务工作质量。</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（六）实施分类监管，强化执法推动。</w:t>
      </w:r>
      <w:r>
        <w:rPr>
          <w:rFonts w:hint="eastAsia" w:ascii="仿宋_GB2312" w:hAnsi="仿宋" w:eastAsia="仿宋_GB2312" w:cs="仿宋"/>
          <w:sz w:val="32"/>
          <w:szCs w:val="32"/>
        </w:rPr>
        <w:t>要根据项目标准化创建、运行、提升情况，实施分级分类差异化监管，对完成标准化提升的项目，最大限度减少日常检查抽查频次；对未开展标准化创建、标准化运行质量无法满足自评达标要求的项目，实施重点监管，加大执法力度，发现非法违法行为的，依法按规定上限处罚，及时曝光典型的执法案例，强化震慑作用，以执法高压态势倒逼项目主动创建、运行、提升标准化。</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（七）坚持常态长效，强化督促指导。</w:t>
      </w:r>
      <w:r>
        <w:rPr>
          <w:rFonts w:hint="eastAsia" w:ascii="仿宋_GB2312" w:hAnsi="仿宋" w:eastAsia="仿宋_GB2312" w:cs="仿宋"/>
          <w:sz w:val="32"/>
          <w:szCs w:val="32"/>
        </w:rPr>
        <w:t>要坚持指导服务先行，建立健全常态化督查督导机制，成立专门指导服务小组，聘请安全生产专家，深入项目生产现场，开展督促指导，强力推进各项工作有效落实。对工作成效突出的，及时给予通报表扬；对工作被动应付、落实不到位的、进展缓慢的，及时给予通报批评，直至严肃问责问效。对工作不力的，一旦发生事故，一律从严倒查、从严追责。</w:t>
      </w:r>
    </w:p>
    <w:p>
      <w:pPr>
        <w:spacing w:line="560" w:lineRule="exact"/>
        <w:ind w:firstLine="643" w:firstLineChars="200"/>
        <w:rPr>
          <w:rFonts w:hint="eastAsia" w:ascii="仿宋_GB2312" w:hAnsi="仿宋" w:eastAsia="仿宋_GB2312" w:cs="仿宋"/>
          <w:sz w:val="32"/>
          <w:szCs w:val="32"/>
        </w:rPr>
      </w:pPr>
      <w:r>
        <w:rPr>
          <w:rFonts w:hint="eastAsia" w:ascii="楷体_GB2312" w:hAnsi="仿宋" w:eastAsia="楷体_GB2312" w:cs="仿宋"/>
          <w:b/>
          <w:sz w:val="32"/>
          <w:szCs w:val="32"/>
        </w:rPr>
        <w:t>（八）健全调度机制，强化信息报送。</w:t>
      </w:r>
      <w:r>
        <w:rPr>
          <w:rFonts w:hint="eastAsia" w:ascii="仿宋_GB2312" w:hAnsi="仿宋" w:eastAsia="仿宋_GB2312" w:cs="仿宋"/>
          <w:sz w:val="32"/>
          <w:szCs w:val="32"/>
        </w:rPr>
        <w:t>要进一步建立健全项目标准化提升会商、通报、简报等工作调度机制，局质安中心和物业股要每月一调度，及时掌握进展情况，认真研究解决存在的突出问题，并指定专人逐月如实形成每月工作总结、如实填报工作进展月报表（附件4、5、6、7），于下一个月1日前将书面工作总结、工作进展情况表（加盖单位公章）及其电子文档对口报送县住建局质安中心和物业股。</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房屋市政工程项目：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联系人：林华珍，联系电话：0595-23285978</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邮箱：axzjjjgg@163.com</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物业服务项目：         </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联系人：史建阳，联系电话：0595-23287691</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邮箱：anxiwyg@163.com</w:t>
      </w:r>
    </w:p>
    <w:p>
      <w:pPr>
        <w:spacing w:line="560" w:lineRule="exact"/>
        <w:ind w:firstLine="640" w:firstLineChars="200"/>
        <w:rPr>
          <w:rFonts w:hint="eastAsia" w:ascii="仿宋_GB2312" w:hAnsi="仿宋" w:eastAsia="仿宋_GB2312" w:cs="仿宋"/>
          <w:sz w:val="32"/>
          <w:szCs w:val="32"/>
        </w:rPr>
      </w:pP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附件：1.关于自主加强安全生产标准化建设告知书（参考）</w:t>
      </w:r>
    </w:p>
    <w:p>
      <w:pPr>
        <w:spacing w:line="560" w:lineRule="exact"/>
        <w:ind w:firstLine="1600" w:firstLineChars="500"/>
        <w:rPr>
          <w:rFonts w:hint="eastAsia" w:ascii="仿宋_GB2312" w:hAnsi="仿宋" w:eastAsia="仿宋_GB2312" w:cs="仿宋"/>
          <w:sz w:val="32"/>
          <w:szCs w:val="32"/>
        </w:rPr>
      </w:pPr>
      <w:r>
        <w:rPr>
          <w:rFonts w:hint="eastAsia" w:ascii="仿宋_GB2312" w:hAnsi="仿宋" w:eastAsia="仿宋_GB2312" w:cs="仿宋"/>
          <w:sz w:val="32"/>
          <w:szCs w:val="32"/>
        </w:rPr>
        <w:t>2.关于自主加强安全生产标准化建设承诺书（参考）</w:t>
      </w:r>
    </w:p>
    <w:p>
      <w:pPr>
        <w:spacing w:line="560" w:lineRule="exact"/>
        <w:ind w:left="1916" w:leftChars="760" w:hanging="320" w:hangingChars="100"/>
        <w:rPr>
          <w:rFonts w:hint="eastAsia" w:ascii="仿宋_GB2312" w:hAnsi="仿宋" w:eastAsia="仿宋_GB2312" w:cs="仿宋"/>
          <w:sz w:val="32"/>
          <w:szCs w:val="32"/>
        </w:rPr>
      </w:pPr>
      <w:r>
        <w:rPr>
          <w:rFonts w:hint="eastAsia" w:ascii="仿宋_GB2312" w:hAnsi="仿宋" w:eastAsia="仿宋_GB2312" w:cs="仿宋"/>
          <w:sz w:val="32"/>
          <w:szCs w:val="32"/>
        </w:rPr>
        <w:t>3.安溪县住建行业领域安全生产标准化提升专项行动巩固提高“个十百”示范工程任务分解指导数</w:t>
      </w:r>
    </w:p>
    <w:p>
      <w:pPr>
        <w:spacing w:line="560" w:lineRule="exact"/>
        <w:ind w:left="1916" w:leftChars="760" w:hanging="320" w:hangingChars="100"/>
        <w:rPr>
          <w:rFonts w:hint="eastAsia" w:ascii="仿宋_GB2312" w:hAnsi="仿宋" w:eastAsia="仿宋_GB2312" w:cs="仿宋"/>
          <w:sz w:val="32"/>
          <w:szCs w:val="32"/>
        </w:rPr>
      </w:pPr>
      <w:r>
        <w:rPr>
          <w:rFonts w:hint="eastAsia" w:ascii="仿宋_GB2312" w:hAnsi="仿宋" w:eastAsia="仿宋_GB2312" w:cs="仿宋"/>
          <w:sz w:val="32"/>
          <w:szCs w:val="32"/>
        </w:rPr>
        <w:t>4.安溪县建筑施工安全生产标准化提升专项行动巩固提高进展情况月报表（一）</w:t>
      </w:r>
    </w:p>
    <w:p>
      <w:pPr>
        <w:spacing w:line="560" w:lineRule="exact"/>
        <w:ind w:left="1916" w:leftChars="760" w:hanging="320" w:hangingChars="100"/>
        <w:rPr>
          <w:rFonts w:hint="eastAsia" w:ascii="仿宋_GB2312" w:hAnsi="仿宋" w:eastAsia="仿宋_GB2312" w:cs="仿宋"/>
          <w:sz w:val="32"/>
          <w:szCs w:val="32"/>
        </w:rPr>
      </w:pPr>
      <w:r>
        <w:rPr>
          <w:rFonts w:hint="eastAsia" w:ascii="仿宋_GB2312" w:hAnsi="仿宋" w:eastAsia="仿宋_GB2312" w:cs="仿宋"/>
          <w:sz w:val="32"/>
          <w:szCs w:val="32"/>
        </w:rPr>
        <w:t>5.安溪县建筑施工安全生产标准化提升专项行动巩固提高进展情况月报表（二）</w:t>
      </w:r>
    </w:p>
    <w:p>
      <w:pPr>
        <w:spacing w:line="560" w:lineRule="exact"/>
        <w:ind w:left="1916" w:leftChars="760" w:hanging="320" w:hangingChars="100"/>
        <w:rPr>
          <w:rFonts w:hint="eastAsia" w:ascii="仿宋_GB2312" w:hAnsi="仿宋" w:eastAsia="仿宋_GB2312" w:cs="仿宋"/>
          <w:sz w:val="32"/>
          <w:szCs w:val="32"/>
        </w:rPr>
      </w:pPr>
      <w:r>
        <w:rPr>
          <w:rFonts w:hint="eastAsia" w:ascii="仿宋_GB2312" w:hAnsi="仿宋" w:eastAsia="仿宋_GB2312" w:cs="仿宋"/>
          <w:sz w:val="32"/>
          <w:szCs w:val="32"/>
        </w:rPr>
        <w:t>6.安溪县物业服务项目安全生产标准化提升专项行动巩固提高进展情况月报表（一）</w:t>
      </w:r>
    </w:p>
    <w:p>
      <w:pPr>
        <w:spacing w:line="560" w:lineRule="exact"/>
        <w:ind w:left="1916" w:leftChars="760" w:hanging="320" w:hangingChars="100"/>
        <w:rPr>
          <w:rFonts w:ascii="仿宋_GB2312" w:hAnsi="仿宋" w:eastAsia="仿宋_GB2312" w:cs="仿宋"/>
          <w:sz w:val="32"/>
          <w:szCs w:val="32"/>
        </w:rPr>
      </w:pPr>
      <w:r>
        <w:rPr>
          <w:rFonts w:hint="eastAsia" w:ascii="仿宋_GB2312" w:hAnsi="仿宋" w:eastAsia="仿宋_GB2312" w:cs="仿宋"/>
          <w:sz w:val="32"/>
          <w:szCs w:val="32"/>
        </w:rPr>
        <w:t>7.安溪县物业服务项目安全生产标准化提升专项行动巩固提高进展情况月报表（二）</w:t>
      </w:r>
    </w:p>
    <w:p>
      <w:pPr>
        <w:pStyle w:val="19"/>
        <w:snapToGrid w:val="0"/>
        <w:spacing w:line="540" w:lineRule="exact"/>
        <w:rPr>
          <w:rFonts w:ascii="黑体" w:hAnsi="黑体" w:eastAsia="黑体" w:cs="黑体"/>
          <w:b/>
          <w:bCs/>
          <w:sz w:val="32"/>
          <w:szCs w:val="32"/>
        </w:rPr>
      </w:pPr>
      <w:r>
        <w:rPr>
          <w:rFonts w:hint="eastAsia" w:ascii="黑体" w:hAnsi="黑体" w:eastAsia="黑体" w:cs="黑体"/>
          <w:sz w:val="32"/>
          <w:szCs w:val="32"/>
        </w:rPr>
        <w:t>附件1</w:t>
      </w:r>
    </w:p>
    <w:p>
      <w:pPr>
        <w:adjustRightInd w:val="0"/>
        <w:snapToGrid w:val="0"/>
        <w:spacing w:beforeLines="100" w:line="580" w:lineRule="exac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关于自主加强安全生产标准化建设告知书</w:t>
      </w:r>
    </w:p>
    <w:p>
      <w:pPr>
        <w:adjustRightInd w:val="0"/>
        <w:snapToGrid w:val="0"/>
        <w:spacing w:afterLines="150" w:line="580" w:lineRule="exact"/>
        <w:jc w:val="center"/>
        <w:rPr>
          <w:rFonts w:hint="eastAsia" w:ascii="楷体_GB2312" w:eastAsia="楷体_GB2312"/>
          <w:sz w:val="32"/>
          <w:szCs w:val="32"/>
        </w:rPr>
      </w:pPr>
      <w:r>
        <w:rPr>
          <w:rFonts w:hint="eastAsia" w:ascii="楷体_GB2312" w:eastAsia="楷体_GB2312"/>
          <w:snapToGrid w:val="0"/>
          <w:kern w:val="0"/>
          <w:sz w:val="32"/>
          <w:szCs w:val="32"/>
        </w:rPr>
        <w:t>（</w:t>
      </w:r>
      <w:r>
        <w:rPr>
          <w:rFonts w:hint="eastAsia" w:ascii="楷体_GB2312" w:eastAsia="楷体_GB2312"/>
          <w:color w:val="000000"/>
          <w:sz w:val="32"/>
          <w:szCs w:val="32"/>
        </w:rPr>
        <w:t>参考</w:t>
      </w:r>
      <w:r>
        <w:rPr>
          <w:rFonts w:hint="eastAsia" w:ascii="楷体_GB2312" w:eastAsia="楷体_GB2312"/>
          <w:snapToGrid w:val="0"/>
          <w:kern w:val="0"/>
          <w:sz w:val="32"/>
          <w:szCs w:val="32"/>
        </w:rPr>
        <w:t>）</w:t>
      </w:r>
    </w:p>
    <w:p>
      <w:pPr>
        <w:pStyle w:val="8"/>
        <w:adjustRightInd w:val="0"/>
        <w:snapToGrid w:val="0"/>
        <w:spacing w:after="0" w:line="520" w:lineRule="exact"/>
        <w:ind w:left="0" w:leftChars="0" w:firstLine="0" w:firstLineChars="0"/>
        <w:jc w:val="left"/>
        <w:rPr>
          <w:rFonts w:ascii="Times New Roman" w:hAnsi="Times New Roman" w:eastAsia="仿宋"/>
        </w:rPr>
      </w:pPr>
      <w:r>
        <w:rPr>
          <w:rFonts w:hint="eastAsia" w:ascii="仿宋_GB2312" w:hAnsi="仿宋" w:eastAsia="仿宋_GB2312" w:cs="仿宋"/>
          <w:u w:val="single"/>
        </w:rPr>
        <w:t xml:space="preserve">            </w:t>
      </w:r>
      <w:r>
        <w:rPr>
          <w:rFonts w:ascii="Times New Roman" w:hAnsi="Times New Roman" w:eastAsia="仿宋"/>
        </w:rPr>
        <w:t>：</w:t>
      </w:r>
    </w:p>
    <w:p>
      <w:pPr>
        <w:adjustRightInd w:val="0"/>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2021年9月1号起施行新修改的《安全生产法》第21条，明确将“建立健全并落实本单位全员安全生产责任制，加强安全生产标准化建设”列为生产经营单位主要负责人第一条安全生产工作职责。根据</w:t>
      </w:r>
      <w:r>
        <w:rPr>
          <w:rFonts w:hint="eastAsia" w:ascii="仿宋_GB2312" w:hAnsi="仿宋" w:eastAsia="仿宋_GB2312"/>
          <w:color w:val="000000"/>
          <w:sz w:val="32"/>
          <w:szCs w:val="32"/>
        </w:rPr>
        <w:t>《泉州市安全生产委员会关于印发泉州市安全生产标准化提升专项行动方案的通知》（泉安委〔2021〕18号）</w:t>
      </w:r>
      <w:r>
        <w:rPr>
          <w:rFonts w:hint="eastAsia" w:ascii="仿宋_GB2312" w:hAnsi="仿宋" w:eastAsia="仿宋_GB2312"/>
          <w:sz w:val="32"/>
          <w:szCs w:val="32"/>
        </w:rPr>
        <w:t>精神，请你单位按照各自行业标准化提升指南和本单位创建安全生产标准化选定的评定标准，于年月日前完成一次安全生产标准化提升年度自评工作，及时整改不符合项，切实巩固提高本单位安全生产标准化运行质量，提升本质安全水平。</w:t>
      </w:r>
    </w:p>
    <w:p>
      <w:pPr>
        <w:adjustRightInd w:val="0"/>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特此告知!</w:t>
      </w:r>
    </w:p>
    <w:p>
      <w:pPr>
        <w:adjustRightInd w:val="0"/>
        <w:snapToGrid w:val="0"/>
        <w:spacing w:line="520" w:lineRule="exact"/>
        <w:ind w:firstLine="640" w:firstLineChars="200"/>
        <w:rPr>
          <w:rFonts w:hint="eastAsia" w:ascii="仿宋_GB2312" w:hAnsi="仿宋" w:eastAsia="仿宋_GB2312"/>
          <w:sz w:val="32"/>
          <w:szCs w:val="32"/>
        </w:rPr>
      </w:pPr>
    </w:p>
    <w:p>
      <w:pPr>
        <w:adjustRightInd w:val="0"/>
        <w:snapToGrid w:val="0"/>
        <w:spacing w:line="520" w:lineRule="exact"/>
        <w:ind w:firstLine="640" w:firstLineChars="200"/>
        <w:rPr>
          <w:rFonts w:hint="eastAsia" w:ascii="仿宋_GB2312" w:hAnsi="仿宋" w:eastAsia="仿宋_GB2312"/>
          <w:sz w:val="32"/>
          <w:szCs w:val="32"/>
        </w:rPr>
      </w:pPr>
    </w:p>
    <w:p>
      <w:pPr>
        <w:adjustRightInd w:val="0"/>
        <w:snapToGrid w:val="0"/>
        <w:spacing w:line="520" w:lineRule="exact"/>
        <w:ind w:firstLine="4160" w:firstLineChars="1300"/>
        <w:rPr>
          <w:rFonts w:hint="eastAsia" w:ascii="仿宋_GB2312" w:hAnsi="仿宋" w:eastAsia="仿宋_GB2312"/>
          <w:sz w:val="32"/>
          <w:szCs w:val="32"/>
        </w:rPr>
      </w:pPr>
      <w:r>
        <w:rPr>
          <w:rFonts w:hint="eastAsia" w:ascii="仿宋_GB2312" w:hAnsi="仿宋" w:eastAsia="仿宋_GB2312"/>
          <w:sz w:val="32"/>
          <w:szCs w:val="32"/>
          <w:lang w:eastAsia="zh-CN"/>
        </w:rPr>
        <w:t>安</w:t>
      </w:r>
      <w:bookmarkStart w:id="0" w:name="_GoBack"/>
      <w:bookmarkEnd w:id="0"/>
      <w:r>
        <w:rPr>
          <w:rFonts w:hint="eastAsia" w:ascii="仿宋_GB2312" w:hAnsi="仿宋" w:eastAsia="仿宋_GB2312"/>
          <w:sz w:val="32"/>
          <w:szCs w:val="32"/>
        </w:rPr>
        <w:t>溪县住房和城乡建设局（盖章）</w:t>
      </w:r>
    </w:p>
    <w:p>
      <w:pPr>
        <w:adjustRightInd w:val="0"/>
        <w:snapToGrid w:val="0"/>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sz w:val="32"/>
          <w:szCs w:val="32"/>
        </w:rPr>
        <w:t xml:space="preserve">                                年   月   日</w:t>
      </w:r>
    </w:p>
    <w:p>
      <w:pPr>
        <w:adjustRightInd w:val="0"/>
        <w:snapToGrid w:val="0"/>
        <w:spacing w:line="52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接收单位</w:t>
      </w:r>
      <w:r>
        <w:rPr>
          <w:rFonts w:hint="eastAsia" w:ascii="仿宋_GB2312" w:hAnsi="仿宋" w:eastAsia="仿宋_GB2312"/>
          <w:sz w:val="32"/>
          <w:szCs w:val="32"/>
        </w:rPr>
        <w:t>（盖章）</w:t>
      </w:r>
      <w:r>
        <w:rPr>
          <w:rFonts w:hint="eastAsia" w:ascii="仿宋_GB2312" w:hAnsi="仿宋" w:eastAsia="仿宋_GB2312"/>
          <w:color w:val="000000"/>
          <w:sz w:val="32"/>
          <w:szCs w:val="32"/>
        </w:rPr>
        <w:t>：</w:t>
      </w:r>
    </w:p>
    <w:p>
      <w:pPr>
        <w:adjustRightInd w:val="0"/>
        <w:snapToGrid w:val="0"/>
        <w:spacing w:line="520" w:lineRule="exact"/>
        <w:rPr>
          <w:rFonts w:hint="eastAsia" w:ascii="仿宋_GB2312" w:hAnsi="仿宋" w:eastAsia="仿宋_GB2312"/>
          <w:color w:val="000000"/>
          <w:sz w:val="32"/>
          <w:szCs w:val="32"/>
        </w:rPr>
      </w:pPr>
      <w:r>
        <w:rPr>
          <w:rFonts w:hint="eastAsia" w:ascii="仿宋_GB2312" w:hAnsi="仿宋" w:eastAsia="仿宋_GB2312"/>
          <w:color w:val="000000"/>
          <w:sz w:val="32"/>
          <w:szCs w:val="32"/>
        </w:rPr>
        <w:t>主要负责人（签字）：</w:t>
      </w:r>
    </w:p>
    <w:p>
      <w:pPr>
        <w:adjustRightInd w:val="0"/>
        <w:snapToGrid w:val="0"/>
        <w:spacing w:line="360" w:lineRule="exact"/>
        <w:ind w:left="723" w:hanging="723" w:hangingChars="343"/>
        <w:rPr>
          <w:rFonts w:hint="eastAsia" w:ascii="仿宋_GB2312" w:hAnsi="仿宋" w:eastAsia="仿宋_GB2312"/>
          <w:b/>
          <w:bCs/>
          <w:color w:val="000000"/>
          <w:szCs w:val="21"/>
        </w:rPr>
      </w:pPr>
    </w:p>
    <w:p>
      <w:pPr>
        <w:adjustRightInd w:val="0"/>
        <w:snapToGrid w:val="0"/>
        <w:spacing w:line="360" w:lineRule="exact"/>
        <w:ind w:firstLine="422" w:firstLineChars="200"/>
        <w:rPr>
          <w:rFonts w:hint="eastAsia" w:ascii="仿宋_GB2312" w:hAnsi="仿宋" w:eastAsia="仿宋_GB2312"/>
          <w:color w:val="000000"/>
          <w:szCs w:val="21"/>
        </w:rPr>
      </w:pPr>
      <w:r>
        <w:rPr>
          <w:rFonts w:hint="eastAsia" w:ascii="仿宋_GB2312" w:hAnsi="仿宋" w:eastAsia="仿宋_GB2312"/>
          <w:b/>
          <w:bCs/>
          <w:color w:val="000000"/>
          <w:szCs w:val="21"/>
        </w:rPr>
        <w:t>备注：</w:t>
      </w:r>
      <w:r>
        <w:rPr>
          <w:rFonts w:hint="eastAsia" w:ascii="仿宋_GB2312" w:hAnsi="仿宋" w:eastAsia="仿宋_GB2312"/>
          <w:color w:val="000000"/>
          <w:szCs w:val="21"/>
        </w:rPr>
        <w:t>本告知书一式四份，一份留存企业备查、一份在企业公示栏公示、一份报送属地乡镇安办备案、一份报送所在县行业领域主管部门备案。</w:t>
      </w:r>
    </w:p>
    <w:p>
      <w:pPr>
        <w:pStyle w:val="19"/>
        <w:snapToGrid w:val="0"/>
        <w:spacing w:line="540" w:lineRule="exact"/>
        <w:rPr>
          <w:rFonts w:ascii="黑体" w:hAnsi="黑体" w:eastAsia="黑体" w:cs="黑体"/>
          <w:sz w:val="32"/>
          <w:szCs w:val="32"/>
        </w:rPr>
      </w:pPr>
      <w:r>
        <w:rPr>
          <w:rFonts w:eastAsia="仿宋"/>
          <w:sz w:val="28"/>
          <w:szCs w:val="28"/>
        </w:rPr>
        <w:br w:type="page"/>
      </w:r>
      <w:r>
        <w:rPr>
          <w:rFonts w:hint="eastAsia" w:ascii="黑体" w:hAnsi="黑体" w:eastAsia="黑体" w:cs="黑体"/>
          <w:sz w:val="32"/>
          <w:szCs w:val="32"/>
        </w:rPr>
        <w:t>附件2</w:t>
      </w:r>
    </w:p>
    <w:p>
      <w:pPr>
        <w:adjustRightInd w:val="0"/>
        <w:snapToGrid w:val="0"/>
        <w:spacing w:beforeLines="150" w:line="580" w:lineRule="exact"/>
        <w:jc w:val="center"/>
        <w:rPr>
          <w:rFonts w:hint="eastAsia" w:ascii="方正小标宋简体" w:eastAsia="方正小标宋简体"/>
          <w:snapToGrid w:val="0"/>
          <w:kern w:val="0"/>
          <w:sz w:val="44"/>
          <w:szCs w:val="44"/>
        </w:rPr>
      </w:pPr>
      <w:r>
        <w:rPr>
          <w:rFonts w:ascii="方正小标宋简体" w:eastAsia="方正小标宋简体"/>
          <w:snapToGrid w:val="0"/>
          <w:kern w:val="0"/>
          <w:sz w:val="44"/>
          <w:szCs w:val="44"/>
        </w:rPr>
        <w:t>关于自主加强安全生产标准化承诺书</w:t>
      </w:r>
    </w:p>
    <w:p>
      <w:pPr>
        <w:adjustRightInd w:val="0"/>
        <w:snapToGrid w:val="0"/>
        <w:spacing w:afterLines="150" w:line="580" w:lineRule="exact"/>
        <w:jc w:val="center"/>
        <w:rPr>
          <w:rFonts w:ascii="楷体_GB2312" w:eastAsia="楷体_GB2312"/>
          <w:snapToGrid w:val="0"/>
          <w:kern w:val="0"/>
          <w:sz w:val="32"/>
          <w:szCs w:val="32"/>
        </w:rPr>
      </w:pPr>
      <w:r>
        <w:rPr>
          <w:rFonts w:ascii="楷体_GB2312" w:eastAsia="楷体_GB2312"/>
          <w:snapToGrid w:val="0"/>
          <w:kern w:val="0"/>
          <w:sz w:val="32"/>
          <w:szCs w:val="32"/>
        </w:rPr>
        <w:t>（参考）</w:t>
      </w:r>
    </w:p>
    <w:p>
      <w:pPr>
        <w:adjustRightInd w:val="0"/>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本单位及本人郑重承诺，按照《企业安全生产标准化基本规范》（GB/T 33000-2016）和有关行业（专业）标准化评定标准的要求自主创建、自主运行，从目标职责、制度化管理、教育培训、现场管理、安全风险管控及隐患排查治理、应急管理、事故管理和持续改进等八个方面，建立与企业日常安全管理相适应、以安全生产标准化为重点的企业自主安全生产管理体系，实现安全生产现场管理、操作行为、设备设施和作业环境规范化，并于年月日之前完成一次安全生产标准化年度自评工作，及时整改不符合项，切实巩固提高本单位安全生产标准化运行质量，提升本质安全水平。如未正确履行安全生产主体责任，加强安全生产标准化建设，愿意承担一切行政的、民事的和刑事的责任。欢迎社会公众对我单位安全生产标准化建设及其运行状况进行监督，如发现隐患可向政府及有关部门举报。</w:t>
      </w:r>
    </w:p>
    <w:p>
      <w:pPr>
        <w:adjustRightInd w:val="0"/>
        <w:snapToGrid w:val="0"/>
        <w:spacing w:line="520" w:lineRule="exact"/>
        <w:ind w:firstLine="640" w:firstLineChars="200"/>
        <w:rPr>
          <w:rFonts w:ascii="仿宋_GB2312" w:hAnsi="仿宋" w:eastAsia="仿宋_GB2312"/>
          <w:sz w:val="32"/>
          <w:szCs w:val="32"/>
        </w:rPr>
      </w:pPr>
    </w:p>
    <w:p>
      <w:pPr>
        <w:adjustRightInd w:val="0"/>
        <w:snapToGrid w:val="0"/>
        <w:spacing w:line="520" w:lineRule="exact"/>
        <w:ind w:firstLine="640" w:firstLineChars="200"/>
        <w:rPr>
          <w:rFonts w:ascii="仿宋_GB2312" w:hAnsi="仿宋" w:eastAsia="仿宋_GB2312"/>
          <w:sz w:val="32"/>
          <w:szCs w:val="32"/>
        </w:rPr>
      </w:pPr>
    </w:p>
    <w:p>
      <w:pPr>
        <w:adjustRightInd w:val="0"/>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 xml:space="preserve">承诺单位（盖章）：    </w:t>
      </w:r>
      <w:r>
        <w:rPr>
          <w:rFonts w:hint="eastAsia" w:ascii="仿宋_GB2312" w:hAnsi="仿宋" w:eastAsia="仿宋_GB2312"/>
          <w:sz w:val="32"/>
          <w:szCs w:val="32"/>
        </w:rPr>
        <w:t xml:space="preserve"> </w:t>
      </w:r>
      <w:r>
        <w:rPr>
          <w:rFonts w:ascii="仿宋_GB2312" w:hAnsi="仿宋" w:eastAsia="仿宋_GB2312"/>
          <w:sz w:val="32"/>
          <w:szCs w:val="32"/>
        </w:rPr>
        <w:t xml:space="preserve">     法定代表人（签名）：</w:t>
      </w:r>
    </w:p>
    <w:p>
      <w:pPr>
        <w:adjustRightInd w:val="0"/>
        <w:snapToGrid w:val="0"/>
        <w:spacing w:line="520" w:lineRule="exact"/>
        <w:ind w:firstLine="5920" w:firstLineChars="1850"/>
        <w:rPr>
          <w:rFonts w:ascii="仿宋_GB2312" w:hAnsi="仿宋" w:eastAsia="仿宋_GB2312"/>
          <w:sz w:val="32"/>
          <w:szCs w:val="32"/>
        </w:rPr>
      </w:pPr>
      <w:r>
        <w:rPr>
          <w:rFonts w:ascii="仿宋_GB2312" w:hAnsi="仿宋" w:eastAsia="仿宋_GB2312"/>
          <w:sz w:val="32"/>
          <w:szCs w:val="32"/>
        </w:rPr>
        <w:t>2023年  月  日</w:t>
      </w:r>
    </w:p>
    <w:p>
      <w:pPr>
        <w:adjustRightInd w:val="0"/>
        <w:snapToGrid w:val="0"/>
        <w:spacing w:line="360" w:lineRule="exact"/>
        <w:ind w:firstLine="422" w:firstLineChars="200"/>
        <w:rPr>
          <w:rFonts w:ascii="仿宋_GB2312" w:hAnsi="仿宋" w:eastAsia="仿宋_GB2312"/>
          <w:b/>
          <w:bCs/>
          <w:color w:val="000000"/>
          <w:szCs w:val="21"/>
        </w:rPr>
      </w:pPr>
    </w:p>
    <w:p>
      <w:pPr>
        <w:adjustRightInd w:val="0"/>
        <w:snapToGrid w:val="0"/>
        <w:spacing w:line="360" w:lineRule="exact"/>
        <w:ind w:firstLine="422" w:firstLineChars="200"/>
        <w:rPr>
          <w:rFonts w:ascii="仿宋_GB2312" w:hAnsi="仿宋" w:eastAsia="仿宋_GB2312"/>
          <w:bCs/>
          <w:color w:val="000000"/>
          <w:szCs w:val="21"/>
        </w:rPr>
      </w:pPr>
      <w:r>
        <w:rPr>
          <w:rFonts w:ascii="仿宋_GB2312" w:hAnsi="仿宋" w:eastAsia="仿宋_GB2312"/>
          <w:b/>
          <w:bCs/>
          <w:color w:val="000000"/>
          <w:szCs w:val="21"/>
        </w:rPr>
        <w:t>备注：</w:t>
      </w:r>
      <w:r>
        <w:rPr>
          <w:rFonts w:ascii="仿宋_GB2312" w:hAnsi="仿宋" w:eastAsia="仿宋_GB2312"/>
          <w:bCs/>
          <w:color w:val="000000"/>
          <w:szCs w:val="21"/>
        </w:rPr>
        <w:t>本承诺书一式四份，一份留存企业备查、一份在企业公示栏公示、一份报送属地乡镇安办备案、一份报送县住建局备案。</w:t>
      </w:r>
    </w:p>
    <w:p>
      <w:pPr>
        <w:pStyle w:val="19"/>
        <w:snapToGrid w:val="0"/>
        <w:spacing w:line="540" w:lineRule="exact"/>
        <w:rPr>
          <w:rFonts w:ascii="黑体" w:hAnsi="黑体" w:eastAsia="黑体" w:cs="黑体"/>
          <w:sz w:val="32"/>
          <w:szCs w:val="32"/>
        </w:rPr>
      </w:pPr>
      <w:r>
        <w:rPr>
          <w:rFonts w:ascii="黑体" w:hAnsi="黑体" w:eastAsia="黑体" w:cs="黑体"/>
          <w:sz w:val="32"/>
          <w:szCs w:val="32"/>
        </w:rPr>
        <w:t>附件3</w:t>
      </w:r>
    </w:p>
    <w:p>
      <w:pPr>
        <w:adjustRightInd w:val="0"/>
        <w:snapToGrid w:val="0"/>
        <w:spacing w:beforeLines="150" w:line="640" w:lineRule="exact"/>
        <w:jc w:val="center"/>
        <w:rPr>
          <w:rFonts w:hint="eastAsia" w:ascii="方正小标宋简体" w:eastAsia="方正小标宋简体"/>
          <w:snapToGrid w:val="0"/>
          <w:kern w:val="0"/>
          <w:sz w:val="44"/>
          <w:szCs w:val="44"/>
        </w:rPr>
      </w:pPr>
      <w:r>
        <w:rPr>
          <w:rFonts w:hint="eastAsia" w:ascii="方正小标宋简体" w:eastAsia="方正小标宋简体"/>
          <w:snapToGrid w:val="0"/>
          <w:kern w:val="0"/>
          <w:sz w:val="44"/>
          <w:szCs w:val="44"/>
        </w:rPr>
        <w:t>安溪县住建行业领域</w:t>
      </w:r>
      <w:r>
        <w:rPr>
          <w:rFonts w:ascii="方正小标宋简体" w:eastAsia="方正小标宋简体"/>
          <w:snapToGrid w:val="0"/>
          <w:kern w:val="0"/>
          <w:sz w:val="44"/>
          <w:szCs w:val="44"/>
        </w:rPr>
        <w:t>安全生产标准化提升</w:t>
      </w:r>
    </w:p>
    <w:p>
      <w:pPr>
        <w:adjustRightInd w:val="0"/>
        <w:snapToGrid w:val="0"/>
        <w:spacing w:line="640" w:lineRule="exact"/>
        <w:jc w:val="center"/>
        <w:rPr>
          <w:rFonts w:hint="eastAsia" w:ascii="方正小标宋简体" w:eastAsia="方正小标宋简体"/>
          <w:snapToGrid w:val="0"/>
          <w:kern w:val="0"/>
          <w:sz w:val="44"/>
          <w:szCs w:val="44"/>
        </w:rPr>
      </w:pPr>
      <w:r>
        <w:rPr>
          <w:rFonts w:ascii="方正小标宋简体" w:eastAsia="方正小标宋简体"/>
          <w:snapToGrid w:val="0"/>
          <w:kern w:val="0"/>
          <w:sz w:val="44"/>
          <w:szCs w:val="44"/>
        </w:rPr>
        <w:t>专项行动巩固提高</w:t>
      </w:r>
      <w:r>
        <w:rPr>
          <w:rFonts w:hint="eastAsia" w:ascii="方正小标宋简体" w:eastAsia="方正小标宋简体"/>
          <w:snapToGrid w:val="0"/>
          <w:kern w:val="0"/>
          <w:sz w:val="44"/>
          <w:szCs w:val="44"/>
        </w:rPr>
        <w:t>“个</w:t>
      </w:r>
      <w:r>
        <w:rPr>
          <w:rFonts w:ascii="方正小标宋简体" w:eastAsia="方正小标宋简体"/>
          <w:snapToGrid w:val="0"/>
          <w:kern w:val="0"/>
          <w:sz w:val="44"/>
          <w:szCs w:val="44"/>
        </w:rPr>
        <w:t>十百</w:t>
      </w:r>
      <w:r>
        <w:rPr>
          <w:rFonts w:hint="eastAsia" w:ascii="方正小标宋简体" w:eastAsia="方正小标宋简体"/>
          <w:snapToGrid w:val="0"/>
          <w:kern w:val="0"/>
          <w:sz w:val="44"/>
          <w:szCs w:val="44"/>
        </w:rPr>
        <w:t>”</w:t>
      </w:r>
      <w:r>
        <w:rPr>
          <w:rFonts w:ascii="方正小标宋简体" w:eastAsia="方正小标宋简体"/>
          <w:snapToGrid w:val="0"/>
          <w:kern w:val="0"/>
          <w:sz w:val="44"/>
          <w:szCs w:val="44"/>
        </w:rPr>
        <w:t>示范</w:t>
      </w:r>
    </w:p>
    <w:p>
      <w:pPr>
        <w:adjustRightInd w:val="0"/>
        <w:snapToGrid w:val="0"/>
        <w:spacing w:line="640" w:lineRule="exact"/>
        <w:jc w:val="center"/>
        <w:rPr>
          <w:rFonts w:ascii="方正小标宋简体" w:eastAsia="方正小标宋简体"/>
          <w:snapToGrid w:val="0"/>
          <w:kern w:val="0"/>
          <w:sz w:val="44"/>
          <w:szCs w:val="44"/>
        </w:rPr>
      </w:pPr>
      <w:r>
        <w:rPr>
          <w:rFonts w:ascii="方正小标宋简体" w:eastAsia="方正小标宋简体"/>
          <w:snapToGrid w:val="0"/>
          <w:kern w:val="0"/>
          <w:sz w:val="44"/>
          <w:szCs w:val="44"/>
        </w:rPr>
        <w:t>工程任务分解数</w:t>
      </w:r>
    </w:p>
    <w:p>
      <w:pPr>
        <w:pStyle w:val="4"/>
        <w:rPr>
          <w:rFonts w:ascii="Times New Roman" w:hAnsi="Times New Roman" w:cs="Times New Roman"/>
        </w:rPr>
      </w:pPr>
    </w:p>
    <w:tbl>
      <w:tblPr>
        <w:tblStyle w:val="10"/>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61"/>
        <w:gridCol w:w="934"/>
        <w:gridCol w:w="875"/>
        <w:gridCol w:w="1390"/>
        <w:gridCol w:w="1454"/>
        <w:gridCol w:w="107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397" w:type="dxa"/>
            <w:vMerge w:val="restart"/>
            <w:vAlign w:val="center"/>
          </w:tcPr>
          <w:p>
            <w:pPr>
              <w:pStyle w:val="8"/>
              <w:adjustRightInd w:val="0"/>
              <w:snapToGrid w:val="0"/>
              <w:spacing w:after="0" w:line="400" w:lineRule="exact"/>
              <w:ind w:left="14" w:leftChars="-39" w:right="-107" w:rightChars="-51" w:hanging="96" w:hangingChars="34"/>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项目</w:t>
            </w:r>
          </w:p>
        </w:tc>
        <w:tc>
          <w:tcPr>
            <w:tcW w:w="1061" w:type="dxa"/>
            <w:vMerge w:val="restart"/>
            <w:vAlign w:val="center"/>
          </w:tcPr>
          <w:p>
            <w:pPr>
              <w:pStyle w:val="8"/>
              <w:adjustRightInd w:val="0"/>
              <w:snapToGrid w:val="0"/>
              <w:spacing w:after="0" w:line="400" w:lineRule="exact"/>
              <w:ind w:left="14" w:leftChars="-39" w:right="-107" w:rightChars="-51" w:hanging="96" w:hangingChars="34"/>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底数</w:t>
            </w:r>
          </w:p>
          <w:p>
            <w:pPr>
              <w:pStyle w:val="8"/>
              <w:adjustRightInd w:val="0"/>
              <w:snapToGrid w:val="0"/>
              <w:spacing w:after="0" w:line="400" w:lineRule="exact"/>
              <w:ind w:left="-90" w:leftChars="-51" w:right="-84" w:rightChars="-40" w:hanging="17" w:hangingChars="6"/>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（个）</w:t>
            </w:r>
          </w:p>
        </w:tc>
        <w:tc>
          <w:tcPr>
            <w:tcW w:w="934" w:type="dxa"/>
            <w:vMerge w:val="restart"/>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标杆</w:t>
            </w:r>
          </w:p>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项目</w:t>
            </w:r>
          </w:p>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数量</w:t>
            </w:r>
          </w:p>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（个）</w:t>
            </w:r>
          </w:p>
        </w:tc>
        <w:tc>
          <w:tcPr>
            <w:tcW w:w="3719" w:type="dxa"/>
            <w:gridSpan w:val="3"/>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标化评定达标项目（个）</w:t>
            </w:r>
          </w:p>
        </w:tc>
        <w:tc>
          <w:tcPr>
            <w:tcW w:w="1070" w:type="dxa"/>
            <w:vMerge w:val="restart"/>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示范</w:t>
            </w:r>
          </w:p>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岗位数</w:t>
            </w:r>
          </w:p>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（个）</w:t>
            </w:r>
          </w:p>
        </w:tc>
        <w:tc>
          <w:tcPr>
            <w:tcW w:w="742" w:type="dxa"/>
            <w:vMerge w:val="restart"/>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97" w:type="dxa"/>
            <w:vMerge w:val="continue"/>
            <w:vAlign w:val="center"/>
          </w:tcPr>
          <w:p>
            <w:pPr>
              <w:pStyle w:val="8"/>
              <w:adjustRightInd w:val="0"/>
              <w:snapToGrid w:val="0"/>
              <w:spacing w:after="0" w:line="400" w:lineRule="exact"/>
              <w:ind w:left="14" w:leftChars="-39" w:right="-107" w:rightChars="-51" w:hanging="96" w:hangingChars="34"/>
              <w:jc w:val="center"/>
              <w:rPr>
                <w:rFonts w:hint="eastAsia" w:ascii="仿宋_GB2312" w:hAnsi="Times New Roman" w:eastAsia="仿宋_GB2312"/>
                <w:b/>
                <w:kern w:val="0"/>
                <w:sz w:val="28"/>
                <w:szCs w:val="28"/>
              </w:rPr>
            </w:pPr>
          </w:p>
        </w:tc>
        <w:tc>
          <w:tcPr>
            <w:tcW w:w="1061" w:type="dxa"/>
            <w:vMerge w:val="continue"/>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p>
        </w:tc>
        <w:tc>
          <w:tcPr>
            <w:tcW w:w="934" w:type="dxa"/>
            <w:vMerge w:val="continue"/>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p>
        </w:tc>
        <w:tc>
          <w:tcPr>
            <w:tcW w:w="875" w:type="dxa"/>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总数</w:t>
            </w:r>
          </w:p>
        </w:tc>
        <w:tc>
          <w:tcPr>
            <w:tcW w:w="1390" w:type="dxa"/>
            <w:vAlign w:val="center"/>
          </w:tcPr>
          <w:p>
            <w:pPr>
              <w:pStyle w:val="8"/>
              <w:numPr>
                <w:ins w:id="0" w:author="PC" w:date="2023-01-16T21:08:00Z"/>
              </w:numPr>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标化评定优良数量</w:t>
            </w:r>
          </w:p>
        </w:tc>
        <w:tc>
          <w:tcPr>
            <w:tcW w:w="1454" w:type="dxa"/>
            <w:vAlign w:val="center"/>
          </w:tcPr>
          <w:p>
            <w:pPr>
              <w:pStyle w:val="8"/>
              <w:numPr>
                <w:ins w:id="1" w:author="PC" w:date="2023-01-16T22:09:00Z"/>
              </w:numPr>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标化评定</w:t>
            </w:r>
          </w:p>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r>
              <w:rPr>
                <w:rFonts w:hint="eastAsia" w:ascii="仿宋_GB2312" w:hAnsi="Times New Roman" w:eastAsia="仿宋_GB2312"/>
                <w:b/>
                <w:kern w:val="0"/>
                <w:sz w:val="28"/>
                <w:szCs w:val="28"/>
              </w:rPr>
              <w:t>合格数量</w:t>
            </w:r>
          </w:p>
        </w:tc>
        <w:tc>
          <w:tcPr>
            <w:tcW w:w="1070" w:type="dxa"/>
            <w:vMerge w:val="continue"/>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p>
        </w:tc>
        <w:tc>
          <w:tcPr>
            <w:tcW w:w="742" w:type="dxa"/>
            <w:vMerge w:val="continue"/>
            <w:vAlign w:val="center"/>
          </w:tcPr>
          <w:p>
            <w:pPr>
              <w:pStyle w:val="8"/>
              <w:adjustRightInd w:val="0"/>
              <w:snapToGrid w:val="0"/>
              <w:spacing w:after="0" w:line="400" w:lineRule="exact"/>
              <w:ind w:left="-109" w:leftChars="-52" w:right="-107" w:rightChars="-51" w:firstLine="0" w:firstLineChars="0"/>
              <w:jc w:val="center"/>
              <w:rPr>
                <w:rFonts w:hint="eastAsia" w:ascii="仿宋_GB2312" w:hAnsi="Times New Roman" w:eastAsia="仿宋_GB2312"/>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7" w:type="dxa"/>
            <w:vAlign w:val="center"/>
          </w:tcPr>
          <w:p>
            <w:pPr>
              <w:widowControl/>
              <w:adjustRightInd w:val="0"/>
              <w:snapToGrid w:val="0"/>
              <w:spacing w:line="500" w:lineRule="exact"/>
              <w:ind w:left="15" w:leftChars="-35" w:right="-50" w:rightChars="-24" w:hanging="88" w:hangingChars="37"/>
              <w:jc w:val="center"/>
              <w:rPr>
                <w:rFonts w:hint="eastAsia" w:ascii="仿宋_GB2312" w:hAnsi="Calibri" w:eastAsia="仿宋_GB2312" w:cs="Times New Roman"/>
                <w:spacing w:val="-20"/>
                <w:kern w:val="0"/>
                <w:sz w:val="28"/>
                <w:szCs w:val="28"/>
              </w:rPr>
            </w:pPr>
            <w:r>
              <w:rPr>
                <w:rFonts w:hint="eastAsia" w:ascii="仿宋_GB2312" w:hAnsi="Calibri" w:eastAsia="仿宋_GB2312" w:cs="Times New Roman"/>
                <w:spacing w:val="-20"/>
                <w:kern w:val="0"/>
                <w:sz w:val="28"/>
                <w:szCs w:val="28"/>
              </w:rPr>
              <w:t>工程项目</w:t>
            </w:r>
          </w:p>
        </w:tc>
        <w:tc>
          <w:tcPr>
            <w:tcW w:w="1061" w:type="dxa"/>
            <w:vAlign w:val="center"/>
          </w:tcPr>
          <w:p>
            <w:pPr>
              <w:widowControl/>
              <w:adjustRightInd w:val="0"/>
              <w:snapToGrid w:val="0"/>
              <w:spacing w:line="500" w:lineRule="exact"/>
              <w:jc w:val="center"/>
              <w:rPr>
                <w:rFonts w:hint="eastAsia" w:ascii="仿宋_GB2312" w:hAnsi="Calibri" w:eastAsia="仿宋_GB2312" w:cs="Times New Roman"/>
                <w:color w:val="000000"/>
                <w:kern w:val="0"/>
                <w:sz w:val="28"/>
                <w:szCs w:val="28"/>
              </w:rPr>
            </w:pPr>
            <w:r>
              <w:rPr>
                <w:rFonts w:hint="eastAsia" w:ascii="仿宋_GB2312" w:hAnsi="Calibri" w:eastAsia="仿宋_GB2312" w:cs="Times New Roman"/>
                <w:color w:val="000000"/>
                <w:kern w:val="0"/>
                <w:sz w:val="28"/>
                <w:szCs w:val="28"/>
              </w:rPr>
              <w:t>118</w:t>
            </w:r>
          </w:p>
        </w:tc>
        <w:tc>
          <w:tcPr>
            <w:tcW w:w="934" w:type="dxa"/>
            <w:vAlign w:val="center"/>
          </w:tcPr>
          <w:p>
            <w:pPr>
              <w:widowControl/>
              <w:adjustRightInd w:val="0"/>
              <w:snapToGrid w:val="0"/>
              <w:spacing w:line="500" w:lineRule="exact"/>
              <w:jc w:val="center"/>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p>
        </w:tc>
        <w:tc>
          <w:tcPr>
            <w:tcW w:w="875" w:type="dxa"/>
            <w:vAlign w:val="center"/>
          </w:tcPr>
          <w:p>
            <w:pPr>
              <w:widowControl/>
              <w:adjustRightInd w:val="0"/>
              <w:snapToGrid w:val="0"/>
              <w:spacing w:line="500" w:lineRule="exact"/>
              <w:jc w:val="center"/>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41</w:t>
            </w:r>
          </w:p>
        </w:tc>
        <w:tc>
          <w:tcPr>
            <w:tcW w:w="1390" w:type="dxa"/>
            <w:vAlign w:val="center"/>
          </w:tcPr>
          <w:p>
            <w:pPr>
              <w:adjustRightInd w:val="0"/>
              <w:snapToGrid w:val="0"/>
              <w:spacing w:line="500" w:lineRule="exact"/>
              <w:jc w:val="center"/>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p>
        </w:tc>
        <w:tc>
          <w:tcPr>
            <w:tcW w:w="1454" w:type="dxa"/>
            <w:vAlign w:val="center"/>
          </w:tcPr>
          <w:p>
            <w:pPr>
              <w:adjustRightInd w:val="0"/>
              <w:snapToGrid w:val="0"/>
              <w:spacing w:line="500" w:lineRule="exact"/>
              <w:jc w:val="center"/>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39</w:t>
            </w:r>
          </w:p>
        </w:tc>
        <w:tc>
          <w:tcPr>
            <w:tcW w:w="1070" w:type="dxa"/>
            <w:vAlign w:val="center"/>
          </w:tcPr>
          <w:p>
            <w:pPr>
              <w:widowControl/>
              <w:adjustRightInd w:val="0"/>
              <w:snapToGrid w:val="0"/>
              <w:spacing w:line="500" w:lineRule="exact"/>
              <w:jc w:val="center"/>
              <w:rPr>
                <w:rFonts w:hint="eastAsia" w:ascii="仿宋_GB2312" w:hAnsi="Calibri" w:eastAsia="仿宋_GB2312" w:cs="Times New Roman"/>
                <w:color w:val="000000"/>
                <w:kern w:val="0"/>
                <w:sz w:val="28"/>
                <w:szCs w:val="28"/>
              </w:rPr>
            </w:pPr>
            <w:r>
              <w:rPr>
                <w:rFonts w:hint="eastAsia" w:ascii="仿宋_GB2312" w:hAnsi="Calibri" w:eastAsia="仿宋_GB2312" w:cs="Times New Roman"/>
                <w:color w:val="000000"/>
                <w:kern w:val="0"/>
                <w:sz w:val="28"/>
                <w:szCs w:val="28"/>
              </w:rPr>
              <w:t>118</w:t>
            </w:r>
          </w:p>
        </w:tc>
        <w:tc>
          <w:tcPr>
            <w:tcW w:w="742" w:type="dxa"/>
          </w:tcPr>
          <w:p>
            <w:pPr>
              <w:adjustRightInd w:val="0"/>
              <w:snapToGrid w:val="0"/>
              <w:spacing w:line="500" w:lineRule="exact"/>
              <w:jc w:val="center"/>
              <w:rPr>
                <w:rFonts w:hint="eastAsia" w:ascii="仿宋_GB2312" w:hAnsi="Calibri" w:eastAsia="仿宋_GB2312" w:cs="Times New Roman"/>
                <w:sz w:val="28"/>
                <w:szCs w:val="28"/>
              </w:rPr>
            </w:pPr>
          </w:p>
          <w:p>
            <w:pPr>
              <w:pStyle w:val="4"/>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397" w:type="dxa"/>
            <w:vAlign w:val="center"/>
          </w:tcPr>
          <w:p>
            <w:pPr>
              <w:widowControl/>
              <w:adjustRightInd w:val="0"/>
              <w:snapToGrid w:val="0"/>
              <w:spacing w:line="500" w:lineRule="exact"/>
              <w:ind w:left="15" w:leftChars="-35" w:right="-50" w:rightChars="-24" w:hanging="88" w:hangingChars="37"/>
              <w:jc w:val="center"/>
              <w:rPr>
                <w:rFonts w:hint="eastAsia" w:ascii="仿宋_GB2312" w:hAnsi="Calibri" w:eastAsia="仿宋_GB2312" w:cs="Times New Roman"/>
                <w:spacing w:val="-20"/>
                <w:kern w:val="0"/>
                <w:sz w:val="28"/>
                <w:szCs w:val="28"/>
              </w:rPr>
            </w:pPr>
            <w:r>
              <w:rPr>
                <w:rFonts w:hint="eastAsia" w:ascii="仿宋_GB2312" w:hAnsi="Calibri" w:eastAsia="仿宋_GB2312" w:cs="Times New Roman"/>
                <w:spacing w:val="-20"/>
                <w:kern w:val="0"/>
                <w:sz w:val="28"/>
                <w:szCs w:val="28"/>
              </w:rPr>
              <w:t>物业小区</w:t>
            </w:r>
          </w:p>
        </w:tc>
        <w:tc>
          <w:tcPr>
            <w:tcW w:w="1061" w:type="dxa"/>
            <w:vAlign w:val="center"/>
          </w:tcPr>
          <w:p>
            <w:pPr>
              <w:widowControl/>
              <w:adjustRightInd w:val="0"/>
              <w:snapToGrid w:val="0"/>
              <w:spacing w:line="500" w:lineRule="exact"/>
              <w:jc w:val="center"/>
              <w:rPr>
                <w:rFonts w:hint="eastAsia" w:ascii="仿宋_GB2312" w:hAnsi="Calibri" w:eastAsia="仿宋_GB2312" w:cs="Times New Roman"/>
                <w:color w:val="000000"/>
                <w:kern w:val="0"/>
                <w:sz w:val="28"/>
                <w:szCs w:val="28"/>
              </w:rPr>
            </w:pPr>
            <w:r>
              <w:rPr>
                <w:rFonts w:hint="eastAsia" w:ascii="仿宋_GB2312" w:hAnsi="Calibri" w:eastAsia="仿宋_GB2312" w:cs="Times New Roman"/>
                <w:color w:val="000000"/>
                <w:kern w:val="0"/>
                <w:sz w:val="28"/>
                <w:szCs w:val="28"/>
              </w:rPr>
              <w:t>121</w:t>
            </w:r>
          </w:p>
        </w:tc>
        <w:tc>
          <w:tcPr>
            <w:tcW w:w="934" w:type="dxa"/>
            <w:vAlign w:val="center"/>
          </w:tcPr>
          <w:p>
            <w:pPr>
              <w:widowControl/>
              <w:adjustRightInd w:val="0"/>
              <w:snapToGrid w:val="0"/>
              <w:spacing w:line="500" w:lineRule="exact"/>
              <w:jc w:val="center"/>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p>
        </w:tc>
        <w:tc>
          <w:tcPr>
            <w:tcW w:w="875" w:type="dxa"/>
            <w:vAlign w:val="center"/>
          </w:tcPr>
          <w:p>
            <w:pPr>
              <w:widowControl/>
              <w:adjustRightInd w:val="0"/>
              <w:snapToGrid w:val="0"/>
              <w:spacing w:line="500" w:lineRule="exact"/>
              <w:jc w:val="center"/>
              <w:rPr>
                <w:rFonts w:hint="eastAsia" w:ascii="仿宋_GB2312" w:hAnsi="Calibri" w:eastAsia="仿宋_GB2312" w:cs="Times New Roman"/>
                <w:kern w:val="0"/>
                <w:sz w:val="28"/>
                <w:szCs w:val="28"/>
              </w:rPr>
            </w:pPr>
          </w:p>
        </w:tc>
        <w:tc>
          <w:tcPr>
            <w:tcW w:w="1390" w:type="dxa"/>
            <w:vAlign w:val="center"/>
          </w:tcPr>
          <w:p>
            <w:pPr>
              <w:adjustRightInd w:val="0"/>
              <w:snapToGrid w:val="0"/>
              <w:spacing w:line="500" w:lineRule="exact"/>
              <w:jc w:val="center"/>
              <w:rPr>
                <w:rFonts w:hint="eastAsia" w:ascii="仿宋_GB2312" w:hAnsi="Calibri" w:eastAsia="仿宋_GB2312" w:cs="Times New Roman"/>
                <w:kern w:val="0"/>
                <w:sz w:val="28"/>
                <w:szCs w:val="28"/>
              </w:rPr>
            </w:pPr>
          </w:p>
        </w:tc>
        <w:tc>
          <w:tcPr>
            <w:tcW w:w="1454" w:type="dxa"/>
            <w:vAlign w:val="center"/>
          </w:tcPr>
          <w:p>
            <w:pPr>
              <w:adjustRightInd w:val="0"/>
              <w:snapToGrid w:val="0"/>
              <w:spacing w:line="500" w:lineRule="exact"/>
              <w:jc w:val="center"/>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rPr>
              <w:t>110</w:t>
            </w:r>
          </w:p>
        </w:tc>
        <w:tc>
          <w:tcPr>
            <w:tcW w:w="1070" w:type="dxa"/>
            <w:vAlign w:val="center"/>
          </w:tcPr>
          <w:p>
            <w:pPr>
              <w:widowControl/>
              <w:adjustRightInd w:val="0"/>
              <w:snapToGrid w:val="0"/>
              <w:spacing w:line="500" w:lineRule="exact"/>
              <w:jc w:val="center"/>
              <w:rPr>
                <w:rFonts w:hint="eastAsia" w:ascii="仿宋_GB2312" w:hAnsi="Calibri" w:eastAsia="仿宋_GB2312" w:cs="Times New Roman"/>
                <w:color w:val="000000"/>
                <w:kern w:val="0"/>
                <w:sz w:val="28"/>
                <w:szCs w:val="28"/>
              </w:rPr>
            </w:pPr>
            <w:r>
              <w:rPr>
                <w:rFonts w:hint="eastAsia" w:ascii="仿宋_GB2312" w:hAnsi="Calibri" w:eastAsia="仿宋_GB2312" w:cs="Times New Roman"/>
                <w:color w:val="000000"/>
                <w:kern w:val="0"/>
                <w:sz w:val="28"/>
                <w:szCs w:val="28"/>
              </w:rPr>
              <w:t>30</w:t>
            </w:r>
          </w:p>
        </w:tc>
        <w:tc>
          <w:tcPr>
            <w:tcW w:w="742" w:type="dxa"/>
          </w:tcPr>
          <w:p>
            <w:pPr>
              <w:pStyle w:val="4"/>
              <w:rPr>
                <w:rFonts w:hint="eastAsia" w:ascii="仿宋_GB2312" w:eastAsia="仿宋_GB2312"/>
                <w:sz w:val="28"/>
                <w:szCs w:val="28"/>
              </w:rPr>
            </w:pPr>
          </w:p>
        </w:tc>
      </w:tr>
    </w:tbl>
    <w:p>
      <w:pPr>
        <w:adjustRightInd w:val="0"/>
        <w:snapToGrid w:val="0"/>
        <w:spacing w:line="580" w:lineRule="exact"/>
        <w:rPr>
          <w:sz w:val="28"/>
          <w:szCs w:val="28"/>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pPr>
    </w:p>
    <w:p>
      <w:pPr>
        <w:adjustRightInd w:val="0"/>
        <w:snapToGrid w:val="0"/>
        <w:spacing w:line="560" w:lineRule="exact"/>
        <w:rPr>
          <w:rFonts w:ascii="黑体" w:hAnsi="黑体" w:eastAsia="黑体"/>
          <w:bCs/>
          <w:color w:val="000000"/>
          <w:spacing w:val="-6"/>
          <w:sz w:val="32"/>
          <w:szCs w:val="32"/>
        </w:rPr>
      </w:pPr>
      <w:r>
        <w:rPr>
          <w:rFonts w:ascii="黑体" w:hAnsi="黑体" w:eastAsia="黑体"/>
          <w:sz w:val="32"/>
          <w:szCs w:val="32"/>
        </w:rPr>
        <w:t>附件</w:t>
      </w:r>
      <w:r>
        <w:rPr>
          <w:rFonts w:hint="eastAsia" w:ascii="黑体" w:hAnsi="黑体" w:eastAsia="黑体"/>
          <w:sz w:val="32"/>
          <w:szCs w:val="32"/>
        </w:rPr>
        <w:t>4</w:t>
      </w:r>
    </w:p>
    <w:p>
      <w:pPr>
        <w:pStyle w:val="19"/>
        <w:snapToGrid w:val="0"/>
        <w:spacing w:beforeLines="50" w:afterLines="50" w:line="460" w:lineRule="exact"/>
        <w:jc w:val="center"/>
        <w:rPr>
          <w:rFonts w:eastAsia="方正小标宋简体"/>
          <w:bCs/>
          <w:kern w:val="2"/>
          <w:sz w:val="36"/>
          <w:szCs w:val="36"/>
        </w:rPr>
      </w:pPr>
      <w:r>
        <w:rPr>
          <w:rFonts w:hint="eastAsia" w:eastAsia="方正小标宋简体"/>
          <w:bCs/>
          <w:sz w:val="36"/>
          <w:szCs w:val="36"/>
        </w:rPr>
        <w:t>安溪县</w:t>
      </w:r>
      <w:r>
        <w:rPr>
          <w:rFonts w:hint="eastAsia" w:eastAsia="方正小标宋简体"/>
          <w:bCs/>
          <w:kern w:val="2"/>
          <w:sz w:val="36"/>
          <w:szCs w:val="36"/>
        </w:rPr>
        <w:t>建筑施工</w:t>
      </w:r>
      <w:r>
        <w:rPr>
          <w:rFonts w:eastAsia="方正小标宋简体"/>
          <w:bCs/>
          <w:kern w:val="2"/>
          <w:sz w:val="36"/>
          <w:szCs w:val="36"/>
        </w:rPr>
        <w:t>安全生产标准化提升专项行动巩固提高进展情况月报表（一）</w:t>
      </w:r>
    </w:p>
    <w:p>
      <w:pPr>
        <w:pStyle w:val="19"/>
        <w:snapToGrid w:val="0"/>
        <w:spacing w:beforeLines="50" w:line="400" w:lineRule="exact"/>
        <w:ind w:left="0" w:leftChars="-233" w:right="-466" w:rightChars="-222" w:hanging="489" w:hangingChars="204"/>
        <w:rPr>
          <w:rFonts w:hint="eastAsia" w:ascii="仿宋_GB2312" w:hAnsi="宋体" w:eastAsia="仿宋_GB2312" w:cs="仿宋_GB2312"/>
          <w:b/>
          <w:bCs/>
          <w:kern w:val="2"/>
          <w:szCs w:val="24"/>
          <w:u w:val="single"/>
        </w:rPr>
      </w:pPr>
      <w:r>
        <w:rPr>
          <w:rFonts w:hint="eastAsia" w:ascii="仿宋_GB2312" w:hAnsi="宋体" w:eastAsia="仿宋_GB2312" w:cs="仿宋_GB2312"/>
          <w:kern w:val="2"/>
        </w:rPr>
        <w:t>填报单位（盖章）：                        填表人：                    联系电话：                       年   月   日</w:t>
      </w:r>
    </w:p>
    <w:tbl>
      <w:tblPr>
        <w:tblStyle w:val="9"/>
        <w:tblW w:w="14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330"/>
        <w:gridCol w:w="557"/>
        <w:gridCol w:w="541"/>
        <w:gridCol w:w="578"/>
        <w:gridCol w:w="545"/>
        <w:gridCol w:w="614"/>
        <w:gridCol w:w="542"/>
        <w:gridCol w:w="1248"/>
        <w:gridCol w:w="1354"/>
        <w:gridCol w:w="1251"/>
        <w:gridCol w:w="361"/>
        <w:gridCol w:w="301"/>
        <w:gridCol w:w="456"/>
        <w:gridCol w:w="402"/>
        <w:gridCol w:w="437"/>
        <w:gridCol w:w="481"/>
        <w:gridCol w:w="496"/>
        <w:gridCol w:w="442"/>
        <w:gridCol w:w="413"/>
        <w:gridCol w:w="417"/>
        <w:gridCol w:w="436"/>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10" w:leftChars="-5" w:right="-29" w:rightChars="-14"/>
              <w:jc w:val="center"/>
              <w:rPr>
                <w:rFonts w:hint="eastAsia" w:ascii="楷体_GB2312" w:hAnsi="宋体" w:eastAsia="楷体_GB2312"/>
                <w:b/>
                <w:sz w:val="24"/>
              </w:rPr>
            </w:pPr>
            <w:r>
              <w:rPr>
                <w:rFonts w:hint="eastAsia" w:ascii="楷体_GB2312" w:hAnsi="宋体" w:eastAsia="楷体_GB2312"/>
                <w:b/>
                <w:sz w:val="24"/>
              </w:rPr>
              <w:t>填报</w:t>
            </w:r>
          </w:p>
          <w:p>
            <w:pPr>
              <w:spacing w:line="360" w:lineRule="exact"/>
              <w:jc w:val="center"/>
              <w:rPr>
                <w:rFonts w:hint="eastAsia" w:ascii="楷体_GB2312" w:hAnsi="宋体" w:eastAsia="楷体_GB2312"/>
                <w:b/>
                <w:sz w:val="24"/>
              </w:rPr>
            </w:pPr>
            <w:r>
              <w:rPr>
                <w:rFonts w:hint="eastAsia" w:ascii="楷体_GB2312" w:hAnsi="宋体" w:eastAsia="楷体_GB2312"/>
                <w:b/>
                <w:sz w:val="24"/>
              </w:rPr>
              <w:t>单位</w:t>
            </w:r>
          </w:p>
          <w:p>
            <w:pPr>
              <w:spacing w:line="360" w:lineRule="exact"/>
              <w:jc w:val="center"/>
              <w:rPr>
                <w:rFonts w:hint="eastAsia" w:ascii="楷体_GB2312" w:hAnsi="宋体" w:eastAsia="楷体_GB2312"/>
                <w:b/>
                <w:sz w:val="24"/>
              </w:rPr>
            </w:pPr>
            <w:r>
              <w:rPr>
                <w:rFonts w:hint="eastAsia" w:ascii="楷体_GB2312" w:hAnsi="宋体" w:eastAsia="楷体_GB2312"/>
                <w:b/>
                <w:sz w:val="24"/>
              </w:rPr>
              <w:t>类型</w:t>
            </w:r>
          </w:p>
        </w:tc>
        <w:tc>
          <w:tcPr>
            <w:tcW w:w="133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楷体_GB2312" w:hAnsi="宋体" w:eastAsia="楷体_GB2312"/>
                <w:b/>
                <w:sz w:val="24"/>
              </w:rPr>
            </w:pPr>
            <w:r>
              <w:rPr>
                <w:rFonts w:hint="eastAsia" w:ascii="楷体_GB2312" w:hAnsi="宋体" w:eastAsia="楷体_GB2312"/>
                <w:b/>
                <w:sz w:val="24"/>
              </w:rPr>
              <w:t>项目数量</w:t>
            </w:r>
          </w:p>
          <w:p>
            <w:pPr>
              <w:spacing w:line="300" w:lineRule="exact"/>
              <w:jc w:val="center"/>
              <w:rPr>
                <w:rFonts w:hint="eastAsia" w:ascii="楷体_GB2312" w:hAnsi="宋体" w:eastAsia="楷体_GB2312"/>
                <w:b/>
                <w:sz w:val="24"/>
              </w:rPr>
            </w:pPr>
            <w:r>
              <w:rPr>
                <w:rFonts w:hint="eastAsia" w:ascii="楷体_GB2312" w:hAnsi="宋体" w:eastAsia="楷体_GB2312"/>
                <w:b/>
                <w:sz w:val="24"/>
              </w:rPr>
              <w:t>（个）</w:t>
            </w:r>
          </w:p>
        </w:tc>
        <w:tc>
          <w:tcPr>
            <w:tcW w:w="2835"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楷体_GB2312" w:hAnsi="宋体" w:eastAsia="楷体_GB2312"/>
                <w:b/>
                <w:sz w:val="24"/>
              </w:rPr>
            </w:pPr>
            <w:r>
              <w:rPr>
                <w:rFonts w:hint="eastAsia" w:ascii="楷体_GB2312" w:hAnsi="宋体" w:eastAsia="楷体_GB2312"/>
                <w:b/>
                <w:sz w:val="24"/>
              </w:rPr>
              <w:t>创建提升数量（个）</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楷体_GB2312" w:hAnsi="宋体" w:eastAsia="楷体_GB2312"/>
                <w:b/>
                <w:sz w:val="24"/>
              </w:rPr>
            </w:pPr>
            <w:r>
              <w:rPr>
                <w:rFonts w:hint="eastAsia" w:ascii="楷体_GB2312" w:hAnsi="宋体" w:eastAsia="楷体_GB2312"/>
                <w:b/>
                <w:sz w:val="24"/>
              </w:rPr>
              <w:t>标杆数量（个）</w:t>
            </w:r>
          </w:p>
        </w:tc>
        <w:tc>
          <w:tcPr>
            <w:tcW w:w="13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楷体_GB2312" w:hAnsi="宋体" w:eastAsia="楷体_GB2312"/>
                <w:b/>
                <w:sz w:val="24"/>
              </w:rPr>
            </w:pPr>
            <w:r>
              <w:rPr>
                <w:rFonts w:hint="eastAsia" w:ascii="楷体_GB2312" w:hAnsi="宋体" w:eastAsia="楷体_GB2312"/>
                <w:b/>
                <w:sz w:val="24"/>
              </w:rPr>
              <w:t>优良项目</w:t>
            </w:r>
          </w:p>
          <w:p>
            <w:pPr>
              <w:spacing w:line="300" w:lineRule="exact"/>
              <w:jc w:val="center"/>
              <w:rPr>
                <w:rFonts w:hint="eastAsia" w:ascii="楷体_GB2312" w:hAnsi="宋体" w:eastAsia="楷体_GB2312"/>
                <w:b/>
                <w:sz w:val="24"/>
              </w:rPr>
            </w:pPr>
            <w:r>
              <w:rPr>
                <w:rFonts w:hint="eastAsia" w:ascii="楷体_GB2312" w:hAnsi="宋体" w:eastAsia="楷体_GB2312"/>
                <w:b/>
                <w:sz w:val="24"/>
              </w:rPr>
              <w:t>数量（个）</w:t>
            </w:r>
          </w:p>
        </w:tc>
        <w:tc>
          <w:tcPr>
            <w:tcW w:w="12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楷体_GB2312" w:hAnsi="宋体" w:eastAsia="楷体_GB2312"/>
                <w:b/>
                <w:sz w:val="24"/>
              </w:rPr>
            </w:pPr>
            <w:r>
              <w:rPr>
                <w:rFonts w:hint="eastAsia" w:ascii="楷体_GB2312" w:hAnsi="宋体" w:eastAsia="楷体_GB2312"/>
                <w:b/>
                <w:sz w:val="24"/>
              </w:rPr>
              <w:t>示范岗位</w:t>
            </w:r>
          </w:p>
          <w:p>
            <w:pPr>
              <w:spacing w:line="300" w:lineRule="exact"/>
              <w:jc w:val="center"/>
              <w:rPr>
                <w:rFonts w:hint="eastAsia" w:ascii="楷体_GB2312" w:hAnsi="宋体" w:eastAsia="楷体_GB2312"/>
                <w:b/>
                <w:sz w:val="24"/>
              </w:rPr>
            </w:pPr>
            <w:r>
              <w:rPr>
                <w:rFonts w:hint="eastAsia" w:ascii="楷体_GB2312" w:hAnsi="宋体" w:eastAsia="楷体_GB2312"/>
                <w:b/>
                <w:sz w:val="24"/>
              </w:rPr>
              <w:t>（个）</w:t>
            </w:r>
          </w:p>
        </w:tc>
        <w:tc>
          <w:tcPr>
            <w:tcW w:w="5272" w:type="dxa"/>
            <w:gridSpan w:val="1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楷体_GB2312" w:hAnsi="宋体" w:eastAsia="楷体_GB2312"/>
                <w:b/>
                <w:sz w:val="24"/>
              </w:rPr>
            </w:pPr>
            <w:r>
              <w:rPr>
                <w:rFonts w:hint="eastAsia" w:ascii="楷体_GB2312" w:hAnsi="宋体" w:eastAsia="楷体_GB2312"/>
                <w:b/>
                <w:sz w:val="24"/>
              </w:rPr>
              <w:t>落实“一企一策”数量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1330" w:type="dxa"/>
            <w:vMerge w:val="restart"/>
            <w:tcBorders>
              <w:top w:val="nil"/>
              <w:left w:val="single" w:color="auto" w:sz="4" w:space="0"/>
              <w:right w:val="single" w:color="auto" w:sz="4" w:space="0"/>
            </w:tcBorders>
            <w:vAlign w:val="center"/>
          </w:tcPr>
          <w:p>
            <w:pPr>
              <w:spacing w:line="360" w:lineRule="exact"/>
              <w:ind w:left="0" w:leftChars="-64" w:right="-94" w:rightChars="-45" w:hanging="134" w:hangingChars="56"/>
              <w:jc w:val="center"/>
              <w:rPr>
                <w:rFonts w:hint="eastAsia" w:ascii="楷体_GB2312" w:hAnsi="宋体" w:eastAsia="楷体_GB2312"/>
                <w:b/>
                <w:sz w:val="24"/>
              </w:rPr>
            </w:pPr>
            <w:r>
              <w:rPr>
                <w:rFonts w:hint="eastAsia" w:ascii="楷体_GB2312" w:hAnsi="宋体" w:eastAsia="楷体_GB2312"/>
                <w:b/>
                <w:sz w:val="24"/>
              </w:rPr>
              <w:t>总</w:t>
            </w:r>
          </w:p>
          <w:p>
            <w:pPr>
              <w:spacing w:line="360" w:lineRule="exact"/>
              <w:ind w:left="0" w:leftChars="-64" w:right="-94" w:rightChars="-45" w:hanging="134" w:hangingChars="56"/>
              <w:jc w:val="center"/>
              <w:rPr>
                <w:rFonts w:hint="eastAsia" w:ascii="楷体_GB2312" w:hAnsi="宋体" w:eastAsia="楷体_GB2312"/>
                <w:b/>
                <w:sz w:val="24"/>
              </w:rPr>
            </w:pPr>
            <w:r>
              <w:rPr>
                <w:rFonts w:hint="eastAsia" w:ascii="楷体_GB2312" w:hAnsi="宋体" w:eastAsia="楷体_GB2312"/>
                <w:b/>
                <w:sz w:val="24"/>
              </w:rPr>
              <w:t>数</w:t>
            </w:r>
          </w:p>
        </w:tc>
        <w:tc>
          <w:tcPr>
            <w:tcW w:w="557" w:type="dxa"/>
            <w:vMerge w:val="restart"/>
            <w:tcBorders>
              <w:top w:val="nil"/>
              <w:left w:val="single" w:color="auto" w:sz="4" w:space="0"/>
              <w:bottom w:val="single" w:color="auto" w:sz="4" w:space="0"/>
              <w:right w:val="single" w:color="auto" w:sz="4" w:space="0"/>
            </w:tcBorders>
            <w:vAlign w:val="center"/>
          </w:tcPr>
          <w:p>
            <w:pPr>
              <w:spacing w:line="360" w:lineRule="exact"/>
              <w:ind w:left="0" w:leftChars="-64" w:right="-94" w:rightChars="-45" w:hanging="134" w:hangingChars="56"/>
              <w:jc w:val="center"/>
              <w:rPr>
                <w:rFonts w:hint="eastAsia" w:ascii="楷体_GB2312" w:hAnsi="宋体" w:eastAsia="楷体_GB2312"/>
                <w:b/>
                <w:sz w:val="24"/>
              </w:rPr>
            </w:pPr>
            <w:r>
              <w:rPr>
                <w:rFonts w:hint="eastAsia" w:ascii="楷体_GB2312" w:hAnsi="宋体" w:eastAsia="楷体_GB2312"/>
                <w:b/>
                <w:sz w:val="24"/>
              </w:rPr>
              <w:t>达</w:t>
            </w:r>
          </w:p>
          <w:p>
            <w:pPr>
              <w:spacing w:line="360" w:lineRule="exact"/>
              <w:ind w:left="0" w:leftChars="-64" w:right="-94" w:rightChars="-45" w:hanging="134" w:hangingChars="56"/>
              <w:jc w:val="center"/>
              <w:rPr>
                <w:rFonts w:hint="eastAsia" w:ascii="楷体_GB2312" w:hAnsi="宋体" w:eastAsia="楷体_GB2312"/>
                <w:b/>
                <w:sz w:val="24"/>
              </w:rPr>
            </w:pPr>
            <w:r>
              <w:rPr>
                <w:rFonts w:hint="eastAsia" w:ascii="楷体_GB2312" w:hAnsi="宋体" w:eastAsia="楷体_GB2312"/>
                <w:b/>
                <w:sz w:val="24"/>
              </w:rPr>
              <w:t>标</w:t>
            </w:r>
          </w:p>
          <w:p>
            <w:pPr>
              <w:spacing w:line="360" w:lineRule="exact"/>
              <w:ind w:left="0" w:leftChars="-64" w:right="-94" w:rightChars="-45" w:hanging="134" w:hangingChars="56"/>
              <w:jc w:val="center"/>
              <w:rPr>
                <w:rFonts w:hint="eastAsia" w:ascii="楷体_GB2312" w:hAnsi="宋体" w:eastAsia="楷体_GB2312"/>
                <w:b/>
                <w:sz w:val="24"/>
              </w:rPr>
            </w:pPr>
            <w:r>
              <w:rPr>
                <w:rFonts w:hint="eastAsia" w:ascii="楷体_GB2312" w:hAnsi="宋体" w:eastAsia="楷体_GB2312"/>
                <w:b/>
                <w:sz w:val="24"/>
              </w:rPr>
              <w:t>类</w:t>
            </w:r>
          </w:p>
          <w:p>
            <w:pPr>
              <w:spacing w:line="360" w:lineRule="exact"/>
              <w:ind w:left="0" w:leftChars="-64" w:right="-94" w:rightChars="-45" w:hanging="134" w:hangingChars="56"/>
              <w:jc w:val="center"/>
              <w:rPr>
                <w:rFonts w:hint="eastAsia" w:ascii="楷体_GB2312" w:hAnsi="宋体" w:eastAsia="楷体_GB2312"/>
                <w:b/>
                <w:sz w:val="24"/>
              </w:rPr>
            </w:pPr>
            <w:r>
              <w:rPr>
                <w:rFonts w:hint="eastAsia" w:ascii="楷体_GB2312" w:hAnsi="宋体" w:eastAsia="楷体_GB2312"/>
                <w:b/>
                <w:sz w:val="24"/>
              </w:rPr>
              <w:t>型</w:t>
            </w:r>
          </w:p>
        </w:tc>
        <w:tc>
          <w:tcPr>
            <w:tcW w:w="541" w:type="dxa"/>
            <w:vMerge w:val="restart"/>
            <w:tcBorders>
              <w:top w:val="nil"/>
              <w:left w:val="single" w:color="auto" w:sz="4" w:space="0"/>
              <w:bottom w:val="single" w:color="auto" w:sz="4" w:space="0"/>
              <w:right w:val="single" w:color="auto" w:sz="4" w:space="0"/>
            </w:tcBorders>
            <w:vAlign w:val="center"/>
          </w:tcPr>
          <w:p>
            <w:pPr>
              <w:adjustRightInd w:val="0"/>
              <w:snapToGrid w:val="0"/>
              <w:spacing w:line="260" w:lineRule="exact"/>
              <w:ind w:left="-67" w:leftChars="-32" w:right="-92" w:rightChars="-44"/>
              <w:jc w:val="center"/>
              <w:rPr>
                <w:rFonts w:hint="eastAsia" w:ascii="楷体_GB2312" w:hAnsi="宋体" w:eastAsia="楷体_GB2312"/>
                <w:b/>
                <w:sz w:val="24"/>
              </w:rPr>
            </w:pPr>
            <w:r>
              <w:rPr>
                <w:rFonts w:hint="eastAsia" w:ascii="楷体_GB2312" w:hAnsi="宋体" w:eastAsia="楷体_GB2312"/>
                <w:b/>
                <w:kern w:val="0"/>
                <w:sz w:val="24"/>
              </w:rPr>
              <w:t>国家级AAA项目(个)</w:t>
            </w:r>
          </w:p>
        </w:tc>
        <w:tc>
          <w:tcPr>
            <w:tcW w:w="57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7" w:leftChars="-32" w:right="-92" w:rightChars="-44"/>
              <w:jc w:val="center"/>
              <w:rPr>
                <w:rFonts w:hint="eastAsia" w:ascii="楷体_GB2312" w:hAnsi="宋体" w:eastAsia="楷体_GB2312"/>
                <w:b/>
                <w:sz w:val="24"/>
              </w:rPr>
            </w:pPr>
            <w:r>
              <w:rPr>
                <w:rFonts w:hint="eastAsia" w:ascii="楷体_GB2312" w:hAnsi="宋体" w:eastAsia="楷体_GB2312"/>
                <w:b/>
                <w:kern w:val="0"/>
                <w:sz w:val="24"/>
              </w:rPr>
              <w:t>省级标准化优良项目(个</w:t>
            </w:r>
            <w:r>
              <w:rPr>
                <w:rFonts w:ascii="楷体_GB2312" w:hAnsi="宋体" w:eastAsia="楷体_GB2312"/>
                <w:b/>
                <w:kern w:val="0"/>
                <w:sz w:val="24"/>
              </w:rPr>
              <w:t>）</w:t>
            </w:r>
          </w:p>
        </w:tc>
        <w:tc>
          <w:tcPr>
            <w:tcW w:w="54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7" w:leftChars="-32" w:right="-92" w:rightChars="-44"/>
              <w:jc w:val="center"/>
              <w:rPr>
                <w:rFonts w:hint="eastAsia" w:ascii="楷体_GB2312" w:hAnsi="宋体" w:eastAsia="楷体_GB2312"/>
                <w:b/>
                <w:sz w:val="24"/>
              </w:rPr>
            </w:pPr>
            <w:r>
              <w:rPr>
                <w:rFonts w:hint="eastAsia" w:ascii="楷体_GB2312" w:hAnsi="宋体" w:eastAsia="楷体_GB2312"/>
                <w:b/>
                <w:kern w:val="0"/>
                <w:sz w:val="24"/>
              </w:rPr>
              <w:t>市级标准化优良项目(个)</w:t>
            </w:r>
          </w:p>
        </w:tc>
        <w:tc>
          <w:tcPr>
            <w:tcW w:w="61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ind w:left="-67" w:leftChars="-32" w:right="-92" w:rightChars="-44"/>
              <w:jc w:val="center"/>
              <w:rPr>
                <w:rFonts w:hint="eastAsia" w:ascii="楷体_GB2312" w:hAnsi="宋体" w:eastAsia="楷体_GB2312"/>
                <w:b/>
                <w:sz w:val="24"/>
              </w:rPr>
            </w:pPr>
            <w:r>
              <w:rPr>
                <w:rFonts w:hint="eastAsia" w:ascii="楷体_GB2312" w:hAnsi="宋体" w:eastAsia="楷体_GB2312"/>
                <w:b/>
                <w:kern w:val="0"/>
                <w:sz w:val="24"/>
              </w:rPr>
              <w:t>合格项目(个)</w:t>
            </w:r>
          </w:p>
        </w:tc>
        <w:tc>
          <w:tcPr>
            <w:tcW w:w="1790" w:type="dxa"/>
            <w:gridSpan w:val="2"/>
            <w:vMerge w:val="restart"/>
            <w:tcBorders>
              <w:top w:val="single" w:color="auto" w:sz="4" w:space="0"/>
              <w:left w:val="single" w:color="auto" w:sz="4" w:space="0"/>
              <w:right w:val="single" w:color="auto" w:sz="4" w:space="0"/>
            </w:tcBorders>
            <w:vAlign w:val="center"/>
          </w:tcPr>
          <w:p>
            <w:pPr>
              <w:spacing w:line="360" w:lineRule="exact"/>
              <w:ind w:left="0" w:leftChars="-64" w:right="-94" w:rightChars="-45" w:hanging="134" w:hangingChars="56"/>
              <w:jc w:val="center"/>
              <w:rPr>
                <w:rFonts w:hint="eastAsia" w:ascii="楷体_GB2312" w:hAnsi="宋体" w:eastAsia="楷体_GB2312"/>
                <w:b/>
                <w:sz w:val="24"/>
              </w:rPr>
            </w:pPr>
            <w:r>
              <w:rPr>
                <w:rFonts w:hint="eastAsia" w:ascii="楷体_GB2312" w:hAnsi="宋体" w:eastAsia="楷体_GB2312"/>
                <w:b/>
                <w:sz w:val="24"/>
              </w:rPr>
              <w:t>工程项目</w:t>
            </w:r>
          </w:p>
        </w:tc>
        <w:tc>
          <w:tcPr>
            <w:tcW w:w="1354"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楷体_GB2312" w:hAnsi="宋体" w:eastAsia="楷体_GB2312"/>
                <w:b/>
                <w:sz w:val="24"/>
              </w:rPr>
            </w:pPr>
            <w:r>
              <w:rPr>
                <w:rFonts w:hint="eastAsia" w:ascii="楷体_GB2312" w:hAnsi="宋体" w:eastAsia="楷体_GB2312"/>
                <w:b/>
                <w:sz w:val="24"/>
              </w:rPr>
              <w:t>工程项目</w:t>
            </w:r>
          </w:p>
        </w:tc>
        <w:tc>
          <w:tcPr>
            <w:tcW w:w="1251"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楷体_GB2312" w:hAnsi="宋体" w:eastAsia="楷体_GB2312"/>
                <w:b/>
                <w:sz w:val="24"/>
              </w:rPr>
            </w:pPr>
            <w:r>
              <w:rPr>
                <w:rFonts w:hint="eastAsia" w:ascii="楷体_GB2312" w:hAnsi="宋体" w:eastAsia="楷体_GB2312"/>
                <w:b/>
                <w:sz w:val="24"/>
              </w:rPr>
              <w:t>岗位</w:t>
            </w:r>
          </w:p>
        </w:tc>
        <w:tc>
          <w:tcPr>
            <w:tcW w:w="361" w:type="dxa"/>
            <w:vMerge w:val="restart"/>
            <w:tcBorders>
              <w:top w:val="single" w:color="auto" w:sz="4" w:space="0"/>
              <w:left w:val="single" w:color="auto" w:sz="4" w:space="0"/>
              <w:bottom w:val="single" w:color="auto" w:sz="4" w:space="0"/>
              <w:right w:val="nil"/>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编制全员安全生产责任制</w:t>
            </w:r>
          </w:p>
        </w:tc>
        <w:tc>
          <w:tcPr>
            <w:tcW w:w="301" w:type="dxa"/>
            <w:vMerge w:val="restart"/>
            <w:tcBorders>
              <w:top w:val="single" w:color="auto" w:sz="4" w:space="0"/>
              <w:left w:val="nil"/>
              <w:bottom w:val="single" w:color="auto" w:sz="4" w:space="0"/>
              <w:right w:val="single" w:color="auto" w:sz="4" w:space="0"/>
            </w:tcBorders>
            <w:vAlign w:val="center"/>
          </w:tcPr>
          <w:p>
            <w:pPr>
              <w:spacing w:line="240" w:lineRule="exact"/>
              <w:ind w:left="-110" w:leftChars="-64" w:right="-94" w:rightChars="-45" w:hanging="24" w:hangingChars="10"/>
              <w:jc w:val="center"/>
              <w:rPr>
                <w:rFonts w:hint="eastAsia" w:ascii="楷体_GB2312" w:hAnsi="宋体" w:eastAsia="楷体_GB2312"/>
                <w:b/>
                <w:sz w:val="24"/>
              </w:rPr>
            </w:pPr>
            <w:r>
              <w:rPr>
                <w:rFonts w:hint="eastAsia" w:ascii="楷体_GB2312" w:hAnsi="宋体" w:eastAsia="楷体_GB2312"/>
                <w:b/>
                <w:sz w:val="24"/>
              </w:rPr>
              <w:t>及考核清单︵个︶</w:t>
            </w:r>
          </w:p>
        </w:tc>
        <w:tc>
          <w:tcPr>
            <w:tcW w:w="12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健 全</w:t>
            </w:r>
          </w:p>
          <w:p>
            <w:pPr>
              <w:spacing w:line="240" w:lineRule="exact"/>
              <w:jc w:val="center"/>
              <w:rPr>
                <w:rFonts w:hint="eastAsia" w:ascii="楷体_GB2312" w:hAnsi="宋体" w:eastAsia="楷体_GB2312"/>
                <w:b/>
                <w:sz w:val="24"/>
              </w:rPr>
            </w:pPr>
            <w:r>
              <w:rPr>
                <w:rFonts w:hint="eastAsia" w:ascii="楷体_GB2312" w:hAnsi="宋体" w:eastAsia="楷体_GB2312"/>
                <w:b/>
                <w:sz w:val="24"/>
              </w:rPr>
              <w:t>三张清单</w:t>
            </w:r>
          </w:p>
        </w:tc>
        <w:tc>
          <w:tcPr>
            <w:tcW w:w="224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四色安全风险</w:t>
            </w:r>
          </w:p>
          <w:p>
            <w:pPr>
              <w:spacing w:line="240" w:lineRule="exact"/>
              <w:jc w:val="center"/>
              <w:rPr>
                <w:rFonts w:hint="eastAsia" w:ascii="楷体_GB2312" w:hAnsi="宋体" w:eastAsia="楷体_GB2312"/>
                <w:b/>
                <w:sz w:val="24"/>
              </w:rPr>
            </w:pPr>
            <w:r>
              <w:rPr>
                <w:rFonts w:hint="eastAsia" w:ascii="楷体_GB2312" w:hAnsi="宋体" w:eastAsia="楷体_GB2312"/>
                <w:b/>
                <w:sz w:val="24"/>
              </w:rPr>
              <w:t>分级管控</w:t>
            </w:r>
          </w:p>
        </w:tc>
        <w:tc>
          <w:tcPr>
            <w:tcW w:w="43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强化5S现场管理︵个︶</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ind w:left="-126" w:leftChars="-60" w:right="-168" w:rightChars="-80" w:firstLine="16" w:firstLineChars="7"/>
              <w:jc w:val="center"/>
              <w:rPr>
                <w:rFonts w:hint="eastAsia" w:ascii="楷体_GB2312" w:hAnsi="宋体" w:eastAsia="楷体_GB2312"/>
                <w:b/>
                <w:sz w:val="24"/>
              </w:rPr>
            </w:pPr>
            <w:r>
              <w:rPr>
                <w:rFonts w:hint="eastAsia" w:ascii="楷体_GB2312" w:hAnsi="宋体" w:eastAsia="楷体_GB2312"/>
                <w:b/>
                <w:sz w:val="24"/>
              </w:rPr>
              <w:t>完善六有可视化警示标识︵个︶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1330"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5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4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6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1790" w:type="dxa"/>
            <w:gridSpan w:val="2"/>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1354"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1251"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361" w:type="dxa"/>
            <w:vMerge w:val="continue"/>
            <w:tcBorders>
              <w:top w:val="single" w:color="auto" w:sz="4" w:space="0"/>
              <w:left w:val="single" w:color="auto" w:sz="4" w:space="0"/>
              <w:bottom w:val="single" w:color="auto" w:sz="4" w:space="0"/>
              <w:right w:val="nil"/>
            </w:tcBorders>
            <w:vAlign w:val="center"/>
          </w:tcPr>
          <w:p>
            <w:pPr>
              <w:widowControl/>
              <w:jc w:val="left"/>
              <w:rPr>
                <w:rFonts w:hint="eastAsia" w:ascii="楷体_GB2312" w:hAnsi="宋体" w:eastAsia="楷体_GB2312"/>
                <w:b/>
                <w:sz w:val="24"/>
              </w:rPr>
            </w:pPr>
          </w:p>
        </w:tc>
        <w:tc>
          <w:tcPr>
            <w:tcW w:w="301" w:type="dxa"/>
            <w:vMerge w:val="continue"/>
            <w:tcBorders>
              <w:top w:val="single" w:color="auto" w:sz="4" w:space="0"/>
              <w:left w:val="nil"/>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4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项目数量</w:t>
            </w:r>
            <w:r>
              <w:rPr>
                <w:rFonts w:hint="eastAsia" w:ascii="楷体_GB2312" w:hAnsi="宋体"/>
                <w:b/>
                <w:sz w:val="24"/>
              </w:rPr>
              <w:t>︵</w:t>
            </w:r>
            <w:r>
              <w:rPr>
                <w:rFonts w:hint="eastAsia" w:ascii="楷体_GB2312" w:hAnsi="宋体" w:eastAsia="楷体_GB2312"/>
                <w:b/>
                <w:sz w:val="24"/>
              </w:rPr>
              <w:t>个</w:t>
            </w:r>
            <w:r>
              <w:rPr>
                <w:rFonts w:hint="eastAsia" w:ascii="楷体_GB2312" w:hAnsi="宋体"/>
                <w:b/>
                <w:sz w:val="24"/>
              </w:rPr>
              <w:t>︶</w:t>
            </w:r>
          </w:p>
        </w:tc>
        <w:tc>
          <w:tcPr>
            <w:tcW w:w="40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自查隐患数量</w:t>
            </w:r>
            <w:r>
              <w:rPr>
                <w:rFonts w:hint="eastAsia" w:ascii="楷体_GB2312" w:hAnsi="宋体"/>
                <w:b/>
                <w:sz w:val="24"/>
              </w:rPr>
              <w:t>︵</w:t>
            </w:r>
            <w:r>
              <w:rPr>
                <w:rFonts w:hint="eastAsia" w:ascii="楷体_GB2312" w:hAnsi="宋体" w:eastAsia="楷体_GB2312"/>
                <w:b/>
                <w:sz w:val="24"/>
              </w:rPr>
              <w:t>条</w:t>
            </w:r>
            <w:r>
              <w:rPr>
                <w:rFonts w:hint="eastAsia" w:ascii="楷体_GB2312" w:hAnsi="宋体"/>
                <w:b/>
                <w:sz w:val="24"/>
              </w:rPr>
              <w:t>︶</w:t>
            </w:r>
          </w:p>
        </w:tc>
        <w:tc>
          <w:tcPr>
            <w:tcW w:w="4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整改隐患数量</w:t>
            </w:r>
            <w:r>
              <w:rPr>
                <w:rFonts w:hint="eastAsia" w:ascii="楷体_GB2312" w:hAnsi="宋体"/>
                <w:b/>
                <w:sz w:val="24"/>
              </w:rPr>
              <w:t>︵</w:t>
            </w:r>
            <w:r>
              <w:rPr>
                <w:rFonts w:hint="eastAsia" w:ascii="楷体_GB2312" w:hAnsi="宋体" w:eastAsia="楷体_GB2312"/>
                <w:b/>
                <w:sz w:val="24"/>
              </w:rPr>
              <w:t>条</w:t>
            </w:r>
            <w:r>
              <w:rPr>
                <w:rFonts w:hint="eastAsia" w:ascii="楷体_GB2312" w:hAnsi="宋体"/>
                <w:b/>
                <w:sz w:val="24"/>
              </w:rPr>
              <w:t>︶</w:t>
            </w:r>
          </w:p>
        </w:tc>
        <w:tc>
          <w:tcPr>
            <w:tcW w:w="4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项目数量</w:t>
            </w:r>
            <w:r>
              <w:rPr>
                <w:rFonts w:hint="eastAsia" w:ascii="楷体_GB2312" w:hAnsi="宋体"/>
                <w:b/>
                <w:sz w:val="24"/>
              </w:rPr>
              <w:t>︵</w:t>
            </w:r>
            <w:r>
              <w:rPr>
                <w:rFonts w:hint="eastAsia" w:ascii="楷体_GB2312" w:hAnsi="宋体" w:eastAsia="楷体_GB2312"/>
                <w:b/>
                <w:sz w:val="24"/>
              </w:rPr>
              <w:t>个</w:t>
            </w:r>
            <w:r>
              <w:rPr>
                <w:rFonts w:hint="eastAsia" w:ascii="楷体_GB2312" w:hAnsi="宋体"/>
                <w:b/>
                <w:sz w:val="24"/>
              </w:rPr>
              <w:t>︶</w:t>
            </w:r>
          </w:p>
        </w:tc>
        <w:tc>
          <w:tcPr>
            <w:tcW w:w="4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红色风险</w:t>
            </w:r>
            <w:r>
              <w:rPr>
                <w:rFonts w:hint="eastAsia" w:ascii="楷体_GB2312" w:hAnsi="宋体"/>
                <w:b/>
                <w:sz w:val="24"/>
              </w:rPr>
              <w:t>︵</w:t>
            </w:r>
            <w:r>
              <w:rPr>
                <w:rFonts w:hint="eastAsia" w:ascii="楷体_GB2312" w:hAnsi="宋体" w:eastAsia="楷体_GB2312"/>
                <w:b/>
                <w:sz w:val="24"/>
              </w:rPr>
              <w:t>个</w:t>
            </w:r>
            <w:r>
              <w:rPr>
                <w:rFonts w:hint="eastAsia" w:ascii="楷体_GB2312" w:hAnsi="宋体"/>
                <w:b/>
                <w:sz w:val="24"/>
              </w:rPr>
              <w:t>︶</w:t>
            </w:r>
          </w:p>
        </w:tc>
        <w:tc>
          <w:tcPr>
            <w:tcW w:w="44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橙色风险</w:t>
            </w:r>
            <w:r>
              <w:rPr>
                <w:rFonts w:hint="eastAsia" w:ascii="楷体_GB2312" w:hAnsi="宋体"/>
                <w:b/>
                <w:sz w:val="24"/>
              </w:rPr>
              <w:t>︵</w:t>
            </w:r>
            <w:r>
              <w:rPr>
                <w:rFonts w:hint="eastAsia" w:ascii="楷体_GB2312" w:hAnsi="宋体" w:eastAsia="楷体_GB2312"/>
                <w:b/>
                <w:sz w:val="24"/>
              </w:rPr>
              <w:t>个</w:t>
            </w:r>
            <w:r>
              <w:rPr>
                <w:rFonts w:hint="eastAsia" w:ascii="楷体_GB2312" w:hAnsi="宋体"/>
                <w:b/>
                <w:sz w:val="24"/>
              </w:rPr>
              <w:t>︶</w:t>
            </w:r>
          </w:p>
        </w:tc>
        <w:tc>
          <w:tcPr>
            <w:tcW w:w="4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黄色风险</w:t>
            </w:r>
            <w:r>
              <w:rPr>
                <w:rFonts w:hint="eastAsia" w:ascii="楷体_GB2312" w:hAnsi="宋体"/>
                <w:b/>
                <w:sz w:val="24"/>
              </w:rPr>
              <w:t>︵</w:t>
            </w:r>
            <w:r>
              <w:rPr>
                <w:rFonts w:hint="eastAsia" w:ascii="楷体_GB2312" w:hAnsi="宋体" w:eastAsia="楷体_GB2312"/>
                <w:b/>
                <w:sz w:val="24"/>
              </w:rPr>
              <w:t>个</w:t>
            </w:r>
            <w:r>
              <w:rPr>
                <w:rFonts w:hint="eastAsia" w:ascii="楷体_GB2312" w:hAnsi="宋体"/>
                <w:b/>
                <w:sz w:val="24"/>
              </w:rPr>
              <w:t>︶</w:t>
            </w:r>
          </w:p>
        </w:tc>
        <w:tc>
          <w:tcPr>
            <w:tcW w:w="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楷体_GB2312" w:hAnsi="宋体" w:eastAsia="楷体_GB2312"/>
                <w:b/>
                <w:sz w:val="24"/>
              </w:rPr>
            </w:pPr>
            <w:r>
              <w:rPr>
                <w:rFonts w:hint="eastAsia" w:ascii="楷体_GB2312" w:hAnsi="宋体" w:eastAsia="楷体_GB2312"/>
                <w:b/>
                <w:sz w:val="24"/>
              </w:rPr>
              <w:t>蓝色风险</w:t>
            </w:r>
            <w:r>
              <w:rPr>
                <w:rFonts w:hint="eastAsia" w:ascii="楷体_GB2312" w:hAnsi="宋体"/>
                <w:b/>
                <w:sz w:val="24"/>
              </w:rPr>
              <w:t>︵</w:t>
            </w:r>
            <w:r>
              <w:rPr>
                <w:rFonts w:hint="eastAsia" w:ascii="楷体_GB2312" w:hAnsi="宋体" w:eastAsia="楷体_GB2312"/>
                <w:b/>
                <w:sz w:val="24"/>
              </w:rPr>
              <w:t>个</w:t>
            </w:r>
            <w:r>
              <w:rPr>
                <w:rFonts w:hint="eastAsia" w:ascii="楷体_GB2312" w:hAnsi="宋体"/>
                <w:b/>
                <w:sz w:val="24"/>
              </w:rPr>
              <w:t>︶</w:t>
            </w: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3" w:type="dxa"/>
            <w:vMerge w:val="restart"/>
            <w:tcBorders>
              <w:top w:val="nil"/>
              <w:left w:val="single" w:color="auto" w:sz="4" w:space="0"/>
              <w:bottom w:val="single" w:color="auto" w:sz="4" w:space="0"/>
              <w:right w:val="single" w:color="auto" w:sz="4" w:space="0"/>
            </w:tcBorders>
            <w:vAlign w:val="center"/>
          </w:tcPr>
          <w:p>
            <w:pPr>
              <w:ind w:left="-58" w:leftChars="-40" w:right="-79" w:rightChars="-38" w:hanging="26" w:hangingChars="11"/>
              <w:jc w:val="center"/>
              <w:rPr>
                <w:rFonts w:hint="eastAsia" w:ascii="楷体_GB2312" w:eastAsia="楷体_GB2312"/>
                <w:sz w:val="24"/>
              </w:rPr>
            </w:pPr>
          </w:p>
        </w:tc>
        <w:tc>
          <w:tcPr>
            <w:tcW w:w="1330" w:type="dxa"/>
            <w:vMerge w:val="restart"/>
            <w:tcBorders>
              <w:top w:val="nil"/>
              <w:left w:val="single" w:color="auto" w:sz="4" w:space="0"/>
              <w:right w:val="single" w:color="auto" w:sz="4" w:space="0"/>
            </w:tcBorders>
            <w:vAlign w:val="center"/>
          </w:tcPr>
          <w:p>
            <w:pPr>
              <w:spacing w:line="360" w:lineRule="exact"/>
              <w:ind w:left="0" w:leftChars="-64" w:right="-94" w:rightChars="-45" w:hanging="134" w:hangingChars="56"/>
              <w:jc w:val="center"/>
              <w:rPr>
                <w:rFonts w:hint="eastAsia" w:ascii="楷体_GB2312" w:hAnsi="宋体" w:eastAsia="楷体_GB2312"/>
                <w:b/>
                <w:sz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国标</w:t>
            </w:r>
          </w:p>
        </w:tc>
        <w:tc>
          <w:tcPr>
            <w:tcW w:w="5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eastAsia="楷体_GB2312"/>
                <w:sz w:val="24"/>
              </w:rPr>
            </w:pPr>
          </w:p>
        </w:tc>
        <w:tc>
          <w:tcPr>
            <w:tcW w:w="5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eastAsia="楷体_GB2312"/>
                <w:sz w:val="24"/>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eastAsia="楷体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hAnsi="宋体" w:eastAsia="楷体_GB2312"/>
                <w:sz w:val="24"/>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市级</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p>
        </w:tc>
        <w:tc>
          <w:tcPr>
            <w:tcW w:w="1354" w:type="dxa"/>
            <w:vMerge w:val="restart"/>
            <w:tcBorders>
              <w:top w:val="nil"/>
              <w:left w:val="single" w:color="auto" w:sz="4" w:space="0"/>
              <w:right w:val="single" w:color="auto" w:sz="4" w:space="0"/>
            </w:tcBorders>
            <w:vAlign w:val="center"/>
          </w:tcPr>
          <w:p>
            <w:pPr>
              <w:jc w:val="center"/>
              <w:rPr>
                <w:rFonts w:hint="eastAsia" w:ascii="楷体_GB2312" w:hAnsi="宋体" w:eastAsia="楷体_GB2312"/>
                <w:sz w:val="24"/>
              </w:rPr>
            </w:pPr>
          </w:p>
        </w:tc>
        <w:tc>
          <w:tcPr>
            <w:tcW w:w="1251" w:type="dxa"/>
            <w:vMerge w:val="restart"/>
            <w:tcBorders>
              <w:top w:val="nil"/>
              <w:left w:val="single" w:color="auto" w:sz="4" w:space="0"/>
              <w:right w:val="single" w:color="auto" w:sz="4" w:space="0"/>
            </w:tcBorders>
            <w:vAlign w:val="center"/>
          </w:tcPr>
          <w:p>
            <w:pPr>
              <w:jc w:val="center"/>
              <w:rPr>
                <w:rFonts w:hint="eastAsia" w:ascii="楷体_GB2312" w:hAnsi="宋体" w:eastAsia="楷体_GB2312"/>
                <w:sz w:val="24"/>
              </w:rPr>
            </w:pPr>
          </w:p>
        </w:tc>
        <w:tc>
          <w:tcPr>
            <w:tcW w:w="662" w:type="dxa"/>
            <w:gridSpan w:val="2"/>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56"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02"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37"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81"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96"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42"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13"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17"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36"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630"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1330" w:type="dxa"/>
            <w:vMerge w:val="continue"/>
            <w:tcBorders>
              <w:left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省标</w:t>
            </w:r>
          </w:p>
        </w:tc>
        <w:tc>
          <w:tcPr>
            <w:tcW w:w="2278" w:type="dxa"/>
            <w:gridSpan w:val="4"/>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楷体_GB2312" w:hAnsi="宋体" w:eastAsia="楷体_GB2312"/>
                <w:sz w:val="24"/>
              </w:rPr>
            </w:pPr>
            <w:r>
              <w:rPr>
                <w:rFonts w:hint="eastAsia" w:ascii="楷体_GB2312" w:hAnsi="宋体" w:eastAsia="楷体_GB2312"/>
                <w:sz w:val="24"/>
              </w:rPr>
              <w:t>--</w:t>
            </w:r>
          </w:p>
        </w:tc>
        <w:tc>
          <w:tcPr>
            <w:tcW w:w="542"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县级</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p>
        </w:tc>
        <w:tc>
          <w:tcPr>
            <w:tcW w:w="1354" w:type="dxa"/>
            <w:vMerge w:val="continue"/>
            <w:tcBorders>
              <w:left w:val="single" w:color="auto" w:sz="4" w:space="0"/>
              <w:right w:val="single" w:color="auto" w:sz="4" w:space="0"/>
            </w:tcBorders>
            <w:vAlign w:val="center"/>
          </w:tcPr>
          <w:p>
            <w:pPr>
              <w:widowControl/>
              <w:jc w:val="left"/>
              <w:rPr>
                <w:rFonts w:hint="eastAsia" w:ascii="楷体_GB2312" w:hAnsi="宋体" w:eastAsia="楷体_GB2312"/>
                <w:sz w:val="24"/>
              </w:rPr>
            </w:pPr>
          </w:p>
        </w:tc>
        <w:tc>
          <w:tcPr>
            <w:tcW w:w="1251" w:type="dxa"/>
            <w:vMerge w:val="continue"/>
            <w:tcBorders>
              <w:left w:val="single" w:color="auto" w:sz="4" w:space="0"/>
              <w:right w:val="single" w:color="auto" w:sz="4" w:space="0"/>
            </w:tcBorders>
            <w:vAlign w:val="center"/>
          </w:tcPr>
          <w:p>
            <w:pPr>
              <w:widowControl/>
              <w:jc w:val="left"/>
              <w:rPr>
                <w:rFonts w:hint="eastAsia" w:ascii="楷体_GB2312" w:hAnsi="宋体" w:eastAsia="楷体_GB2312"/>
                <w:sz w:val="24"/>
              </w:rPr>
            </w:pPr>
          </w:p>
        </w:tc>
        <w:tc>
          <w:tcPr>
            <w:tcW w:w="6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8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1330"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地标</w:t>
            </w:r>
          </w:p>
        </w:tc>
        <w:tc>
          <w:tcPr>
            <w:tcW w:w="2278" w:type="dxa"/>
            <w:gridSpan w:val="4"/>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楷体_GB2312" w:hAnsi="宋体" w:eastAsia="楷体_GB2312"/>
                <w:sz w:val="24"/>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乡级</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24"/>
              </w:rPr>
              <w:t>--</w:t>
            </w:r>
          </w:p>
        </w:tc>
        <w:tc>
          <w:tcPr>
            <w:tcW w:w="1354"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sz w:val="24"/>
              </w:rPr>
            </w:pPr>
          </w:p>
        </w:tc>
        <w:tc>
          <w:tcPr>
            <w:tcW w:w="1251"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sz w:val="24"/>
              </w:rPr>
            </w:pPr>
          </w:p>
        </w:tc>
        <w:tc>
          <w:tcPr>
            <w:tcW w:w="6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8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63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3" w:type="dxa"/>
            <w:vMerge w:val="restart"/>
            <w:tcBorders>
              <w:top w:val="nil"/>
              <w:left w:val="single" w:color="auto" w:sz="4" w:space="0"/>
              <w:bottom w:val="single" w:color="auto" w:sz="4" w:space="0"/>
              <w:right w:val="single" w:color="auto" w:sz="4" w:space="0"/>
            </w:tcBorders>
            <w:vAlign w:val="center"/>
          </w:tcPr>
          <w:p>
            <w:pPr>
              <w:ind w:left="-58" w:leftChars="-40" w:right="-79" w:rightChars="-38" w:hanging="26" w:hangingChars="11"/>
              <w:jc w:val="center"/>
              <w:rPr>
                <w:rFonts w:hint="eastAsia" w:ascii="楷体_GB2312" w:eastAsia="楷体_GB2312"/>
                <w:sz w:val="24"/>
              </w:rPr>
            </w:pPr>
          </w:p>
        </w:tc>
        <w:tc>
          <w:tcPr>
            <w:tcW w:w="1330" w:type="dxa"/>
            <w:vMerge w:val="restart"/>
            <w:tcBorders>
              <w:top w:val="nil"/>
              <w:left w:val="single" w:color="auto" w:sz="4" w:space="0"/>
              <w:right w:val="single" w:color="auto" w:sz="4" w:space="0"/>
            </w:tcBorders>
            <w:vAlign w:val="center"/>
          </w:tcPr>
          <w:p>
            <w:pPr>
              <w:spacing w:line="360" w:lineRule="exact"/>
              <w:ind w:left="0" w:leftChars="-64" w:right="-94" w:rightChars="-45" w:hanging="134" w:hangingChars="56"/>
              <w:jc w:val="center"/>
              <w:rPr>
                <w:rFonts w:hint="eastAsia" w:ascii="楷体_GB2312" w:hAnsi="宋体" w:eastAsia="楷体_GB2312"/>
                <w:b/>
                <w:sz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国标</w:t>
            </w:r>
          </w:p>
        </w:tc>
        <w:tc>
          <w:tcPr>
            <w:tcW w:w="54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eastAsia="楷体_GB2312"/>
                <w:sz w:val="24"/>
              </w:rPr>
            </w:pPr>
          </w:p>
        </w:tc>
        <w:tc>
          <w:tcPr>
            <w:tcW w:w="57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eastAsia="楷体_GB2312"/>
                <w:sz w:val="24"/>
              </w:rPr>
            </w:pPr>
          </w:p>
        </w:tc>
        <w:tc>
          <w:tcPr>
            <w:tcW w:w="5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eastAsia="楷体_GB2312"/>
                <w:sz w:val="24"/>
              </w:rPr>
            </w:pPr>
          </w:p>
        </w:tc>
        <w:tc>
          <w:tcPr>
            <w:tcW w:w="61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楷体_GB2312" w:hAnsi="宋体" w:eastAsia="楷体_GB2312"/>
                <w:sz w:val="24"/>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市级</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p>
        </w:tc>
        <w:tc>
          <w:tcPr>
            <w:tcW w:w="1354" w:type="dxa"/>
            <w:vMerge w:val="restart"/>
            <w:tcBorders>
              <w:top w:val="nil"/>
              <w:left w:val="single" w:color="auto" w:sz="4" w:space="0"/>
              <w:right w:val="single" w:color="auto" w:sz="4" w:space="0"/>
            </w:tcBorders>
            <w:vAlign w:val="center"/>
          </w:tcPr>
          <w:p>
            <w:pPr>
              <w:jc w:val="center"/>
              <w:rPr>
                <w:rFonts w:hint="eastAsia" w:ascii="楷体_GB2312" w:hAnsi="宋体" w:eastAsia="楷体_GB2312"/>
                <w:sz w:val="24"/>
              </w:rPr>
            </w:pPr>
          </w:p>
        </w:tc>
        <w:tc>
          <w:tcPr>
            <w:tcW w:w="1251" w:type="dxa"/>
            <w:vMerge w:val="restart"/>
            <w:tcBorders>
              <w:top w:val="nil"/>
              <w:left w:val="single" w:color="auto" w:sz="4" w:space="0"/>
              <w:right w:val="single" w:color="auto" w:sz="4" w:space="0"/>
            </w:tcBorders>
            <w:vAlign w:val="center"/>
          </w:tcPr>
          <w:p>
            <w:pPr>
              <w:jc w:val="center"/>
              <w:rPr>
                <w:rFonts w:hint="eastAsia" w:ascii="楷体_GB2312" w:hAnsi="宋体" w:eastAsia="楷体_GB2312"/>
                <w:sz w:val="24"/>
              </w:rPr>
            </w:pPr>
          </w:p>
        </w:tc>
        <w:tc>
          <w:tcPr>
            <w:tcW w:w="662" w:type="dxa"/>
            <w:gridSpan w:val="2"/>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56"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02"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37"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81"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96"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42"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13"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17" w:type="dxa"/>
            <w:vMerge w:val="restart"/>
            <w:tcBorders>
              <w:top w:val="nil"/>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4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1330" w:type="dxa"/>
            <w:vMerge w:val="continue"/>
            <w:tcBorders>
              <w:left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省标</w:t>
            </w:r>
          </w:p>
        </w:tc>
        <w:tc>
          <w:tcPr>
            <w:tcW w:w="2278" w:type="dxa"/>
            <w:gridSpan w:val="4"/>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楷体_GB2312" w:hAnsi="宋体" w:eastAsia="楷体_GB2312"/>
                <w:sz w:val="24"/>
              </w:rPr>
            </w:pPr>
            <w:r>
              <w:rPr>
                <w:rFonts w:hint="eastAsia" w:ascii="楷体_GB2312" w:hAnsi="宋体" w:eastAsia="楷体_GB2312"/>
                <w:sz w:val="24"/>
              </w:rPr>
              <w:t>--</w:t>
            </w:r>
          </w:p>
        </w:tc>
        <w:tc>
          <w:tcPr>
            <w:tcW w:w="542"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县级</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p>
        </w:tc>
        <w:tc>
          <w:tcPr>
            <w:tcW w:w="1354" w:type="dxa"/>
            <w:vMerge w:val="continue"/>
            <w:tcBorders>
              <w:left w:val="single" w:color="auto" w:sz="4" w:space="0"/>
              <w:right w:val="single" w:color="auto" w:sz="4" w:space="0"/>
            </w:tcBorders>
            <w:vAlign w:val="center"/>
          </w:tcPr>
          <w:p>
            <w:pPr>
              <w:widowControl/>
              <w:jc w:val="left"/>
              <w:rPr>
                <w:rFonts w:hint="eastAsia" w:ascii="楷体_GB2312" w:hAnsi="宋体" w:eastAsia="楷体_GB2312"/>
                <w:sz w:val="24"/>
              </w:rPr>
            </w:pPr>
          </w:p>
        </w:tc>
        <w:tc>
          <w:tcPr>
            <w:tcW w:w="1251" w:type="dxa"/>
            <w:vMerge w:val="continue"/>
            <w:tcBorders>
              <w:left w:val="single" w:color="auto" w:sz="4" w:space="0"/>
              <w:right w:val="single" w:color="auto" w:sz="4" w:space="0"/>
            </w:tcBorders>
            <w:vAlign w:val="center"/>
          </w:tcPr>
          <w:p>
            <w:pPr>
              <w:widowControl/>
              <w:jc w:val="left"/>
              <w:rPr>
                <w:rFonts w:hint="eastAsia" w:ascii="楷体_GB2312" w:hAnsi="宋体" w:eastAsia="楷体_GB2312"/>
                <w:sz w:val="24"/>
              </w:rPr>
            </w:pPr>
          </w:p>
        </w:tc>
        <w:tc>
          <w:tcPr>
            <w:tcW w:w="6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8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1330"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b/>
                <w:sz w:val="24"/>
              </w:rPr>
            </w:pPr>
          </w:p>
        </w:tc>
        <w:tc>
          <w:tcPr>
            <w:tcW w:w="557"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地标</w:t>
            </w:r>
          </w:p>
        </w:tc>
        <w:tc>
          <w:tcPr>
            <w:tcW w:w="2278" w:type="dxa"/>
            <w:gridSpan w:val="4"/>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楷体_GB2312" w:hAnsi="宋体" w:eastAsia="楷体_GB2312"/>
                <w:sz w:val="24"/>
              </w:rPr>
            </w:pPr>
          </w:p>
        </w:tc>
        <w:tc>
          <w:tcPr>
            <w:tcW w:w="542" w:type="dxa"/>
            <w:tcBorders>
              <w:top w:val="single" w:color="auto" w:sz="4" w:space="0"/>
              <w:left w:val="single" w:color="auto" w:sz="4" w:space="0"/>
              <w:bottom w:val="single" w:color="auto" w:sz="4" w:space="0"/>
              <w:right w:val="single" w:color="auto" w:sz="4" w:space="0"/>
            </w:tcBorders>
            <w:vAlign w:val="center"/>
          </w:tcPr>
          <w:p>
            <w:pPr>
              <w:spacing w:line="360" w:lineRule="exact"/>
              <w:ind w:left="135" w:leftChars="-57" w:right="-94" w:rightChars="-45" w:hanging="254" w:hangingChars="106"/>
              <w:jc w:val="center"/>
              <w:rPr>
                <w:rFonts w:hint="eastAsia" w:ascii="楷体_GB2312" w:hAnsi="宋体" w:eastAsia="楷体_GB2312"/>
                <w:sz w:val="24"/>
              </w:rPr>
            </w:pPr>
            <w:r>
              <w:rPr>
                <w:rFonts w:hint="eastAsia" w:ascii="楷体_GB2312" w:hAnsi="宋体" w:eastAsia="楷体_GB2312"/>
                <w:sz w:val="24"/>
              </w:rPr>
              <w:t>乡级</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楷体_GB2312" w:hAnsi="宋体" w:eastAsia="楷体_GB2312"/>
                <w:sz w:val="24"/>
              </w:rPr>
            </w:pPr>
            <w:r>
              <w:rPr>
                <w:rFonts w:hint="eastAsia" w:ascii="楷体_GB2312" w:hAnsi="宋体" w:eastAsia="楷体_GB2312"/>
                <w:sz w:val="24"/>
              </w:rPr>
              <w:t>--</w:t>
            </w:r>
          </w:p>
        </w:tc>
        <w:tc>
          <w:tcPr>
            <w:tcW w:w="1354"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sz w:val="24"/>
              </w:rPr>
            </w:pPr>
          </w:p>
        </w:tc>
        <w:tc>
          <w:tcPr>
            <w:tcW w:w="1251" w:type="dxa"/>
            <w:vMerge w:val="continue"/>
            <w:tcBorders>
              <w:left w:val="single" w:color="auto" w:sz="4" w:space="0"/>
              <w:bottom w:val="single" w:color="auto" w:sz="4" w:space="0"/>
              <w:right w:val="single" w:color="auto" w:sz="4" w:space="0"/>
            </w:tcBorders>
            <w:vAlign w:val="center"/>
          </w:tcPr>
          <w:p>
            <w:pPr>
              <w:widowControl/>
              <w:jc w:val="left"/>
              <w:rPr>
                <w:rFonts w:hint="eastAsia" w:ascii="楷体_GB2312" w:hAnsi="宋体" w:eastAsia="楷体_GB2312"/>
                <w:sz w:val="24"/>
              </w:rPr>
            </w:pPr>
          </w:p>
        </w:tc>
        <w:tc>
          <w:tcPr>
            <w:tcW w:w="66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8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9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4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4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_GB2312" w:eastAsia="楷体_GB2312"/>
                <w:sz w:val="24"/>
              </w:rPr>
            </w:pPr>
          </w:p>
        </w:tc>
      </w:tr>
    </w:tbl>
    <w:p>
      <w:pPr>
        <w:spacing w:beforeLines="33" w:line="360" w:lineRule="exact"/>
        <w:ind w:firstLine="480" w:firstLineChars="200"/>
        <w:jc w:val="left"/>
        <w:rPr>
          <w:rFonts w:hint="eastAsia" w:ascii="仿宋_GB2312" w:eastAsia="仿宋_GB2312"/>
          <w:sz w:val="24"/>
        </w:rPr>
      </w:pPr>
      <w:r>
        <w:rPr>
          <w:rFonts w:hint="eastAsia" w:ascii="仿宋_GB2312" w:hAnsi="仿宋" w:eastAsia="仿宋_GB2312"/>
          <w:b/>
          <w:sz w:val="24"/>
        </w:rPr>
        <w:t>注：</w:t>
      </w:r>
      <w:r>
        <w:rPr>
          <w:rFonts w:hint="eastAsia" w:ascii="仿宋_GB2312" w:hAnsi="仿宋" w:eastAsia="仿宋_GB2312"/>
          <w:sz w:val="24"/>
        </w:rPr>
        <w:t>1.各填报单位按照各自所属的单位类型进行填报；2.自评项目指未经定级（达标）评审，只完成内部自评的项目；3.地标指的是泉州市本级地方标准，统一按不定级达标统计；4.每月1日前上报上一个月巩固提高进展情况。</w:t>
      </w:r>
    </w:p>
    <w:p>
      <w:pPr>
        <w:adjustRightInd w:val="0"/>
        <w:snapToGrid w:val="0"/>
        <w:spacing w:line="56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5</w:t>
      </w:r>
    </w:p>
    <w:p>
      <w:pPr>
        <w:pStyle w:val="19"/>
        <w:snapToGrid w:val="0"/>
        <w:spacing w:beforeLines="50" w:afterLines="50" w:line="460" w:lineRule="exact"/>
        <w:jc w:val="center"/>
        <w:rPr>
          <w:rFonts w:eastAsia="方正小标宋简体"/>
          <w:bCs/>
          <w:sz w:val="36"/>
          <w:szCs w:val="36"/>
        </w:rPr>
      </w:pPr>
      <w:r>
        <w:rPr>
          <w:rFonts w:hint="eastAsia" w:eastAsia="方正小标宋简体"/>
          <w:bCs/>
          <w:sz w:val="36"/>
          <w:szCs w:val="36"/>
        </w:rPr>
        <w:t>安溪县建筑施工安全生产标准化提升专项行动巩固提高进展情况月报表（二）</w:t>
      </w:r>
    </w:p>
    <w:p>
      <w:pPr>
        <w:pStyle w:val="19"/>
        <w:snapToGrid w:val="0"/>
        <w:spacing w:beforeLines="50" w:line="400" w:lineRule="exact"/>
        <w:ind w:left="0" w:leftChars="-233" w:right="-466" w:rightChars="-222" w:hanging="489" w:hangingChars="204"/>
        <w:jc w:val="center"/>
        <w:rPr>
          <w:rFonts w:ascii="宋体" w:hAnsi="宋体" w:cs="仿宋_GB2312"/>
          <w:b/>
          <w:bCs/>
          <w:kern w:val="2"/>
          <w:szCs w:val="24"/>
          <w:u w:val="single"/>
        </w:rPr>
      </w:pPr>
      <w:r>
        <w:rPr>
          <w:rFonts w:hint="eastAsia" w:ascii="仿宋_GB2312" w:hAnsi="宋体" w:eastAsia="仿宋_GB2312" w:cs="仿宋_GB2312"/>
          <w:kern w:val="2"/>
        </w:rPr>
        <w:t>填报单位（盖章）：                        填表人：                    联系电话：                       年   月   日</w:t>
      </w:r>
    </w:p>
    <w:tbl>
      <w:tblPr>
        <w:tblStyle w:val="9"/>
        <w:tblpPr w:leftFromText="180" w:rightFromText="180" w:vertAnchor="text" w:tblpXSpec="center" w:tblpY="1"/>
        <w:tblOverlap w:val="never"/>
        <w:tblW w:w="14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86"/>
        <w:gridCol w:w="386"/>
        <w:gridCol w:w="386"/>
        <w:gridCol w:w="388"/>
        <w:gridCol w:w="533"/>
        <w:gridCol w:w="1270"/>
        <w:gridCol w:w="1187"/>
        <w:gridCol w:w="1275"/>
        <w:gridCol w:w="1135"/>
        <w:gridCol w:w="386"/>
        <w:gridCol w:w="386"/>
        <w:gridCol w:w="386"/>
        <w:gridCol w:w="386"/>
        <w:gridCol w:w="387"/>
        <w:gridCol w:w="386"/>
        <w:gridCol w:w="387"/>
        <w:gridCol w:w="386"/>
        <w:gridCol w:w="386"/>
        <w:gridCol w:w="386"/>
        <w:gridCol w:w="386"/>
        <w:gridCol w:w="386"/>
        <w:gridCol w:w="386"/>
        <w:gridCol w:w="386"/>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526" w:type="dxa"/>
            <w:vMerge w:val="restart"/>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填报</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单位</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类型</w:t>
            </w:r>
          </w:p>
        </w:tc>
        <w:tc>
          <w:tcPr>
            <w:tcW w:w="1546" w:type="dxa"/>
            <w:gridSpan w:val="4"/>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优化标准</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规范</w:t>
            </w:r>
          </w:p>
        </w:tc>
        <w:tc>
          <w:tcPr>
            <w:tcW w:w="5400" w:type="dxa"/>
            <w:gridSpan w:val="5"/>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四色安全风险分级动态监管</w:t>
            </w:r>
          </w:p>
        </w:tc>
        <w:tc>
          <w:tcPr>
            <w:tcW w:w="5798" w:type="dxa"/>
            <w:gridSpan w:val="15"/>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执法激励约束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1526" w:type="dxa"/>
            <w:vMerge w:val="continue"/>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b/>
                <w:sz w:val="24"/>
                <w:szCs w:val="24"/>
              </w:rPr>
            </w:pPr>
          </w:p>
        </w:tc>
        <w:tc>
          <w:tcPr>
            <w:tcW w:w="386" w:type="dxa"/>
            <w:vMerge w:val="restart"/>
            <w:vAlign w:val="center"/>
          </w:tcPr>
          <w:p>
            <w:pPr>
              <w:pStyle w:val="8"/>
              <w:adjustRightInd w:val="0"/>
              <w:snapToGrid w:val="0"/>
              <w:spacing w:after="0" w:line="260" w:lineRule="exact"/>
              <w:ind w:left="-42" w:leftChars="-2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安全生产检查清单</w:t>
            </w:r>
            <w:r>
              <w:rPr>
                <w:rFonts w:hint="eastAsia" w:ascii="仿宋_GB2312" w:hAnsi="宋体"/>
                <w:b/>
                <w:sz w:val="24"/>
                <w:szCs w:val="24"/>
              </w:rPr>
              <w:t>︵</w:t>
            </w:r>
            <w:r>
              <w:rPr>
                <w:rFonts w:hint="eastAsia" w:ascii="仿宋_GB2312" w:hAnsi="宋体" w:eastAsia="仿宋_GB2312"/>
                <w:b/>
                <w:sz w:val="24"/>
                <w:szCs w:val="24"/>
              </w:rPr>
              <w:t>份</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标准化运行提升指南</w:t>
            </w:r>
            <w:r>
              <w:rPr>
                <w:rFonts w:hint="eastAsia" w:ascii="仿宋_GB2312" w:hAnsi="宋体"/>
                <w:b/>
                <w:sz w:val="24"/>
                <w:szCs w:val="24"/>
              </w:rPr>
              <w:t>︵</w:t>
            </w:r>
            <w:r>
              <w:rPr>
                <w:rFonts w:hint="eastAsia" w:ascii="仿宋_GB2312" w:hAnsi="宋体" w:eastAsia="仿宋_GB2312"/>
                <w:b/>
                <w:sz w:val="24"/>
                <w:szCs w:val="24"/>
              </w:rPr>
              <w:t>份</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工程项目达标细则</w:t>
            </w:r>
            <w:r>
              <w:rPr>
                <w:rFonts w:hint="eastAsia" w:ascii="仿宋_GB2312" w:hAnsi="宋体"/>
                <w:b/>
                <w:sz w:val="24"/>
                <w:szCs w:val="24"/>
              </w:rPr>
              <w:t>︵</w:t>
            </w:r>
            <w:r>
              <w:rPr>
                <w:rFonts w:hint="eastAsia" w:ascii="仿宋_GB2312" w:hAnsi="宋体" w:eastAsia="仿宋_GB2312"/>
                <w:b/>
                <w:sz w:val="24"/>
                <w:szCs w:val="24"/>
              </w:rPr>
              <w:t>份</w:t>
            </w:r>
            <w:r>
              <w:rPr>
                <w:rFonts w:hint="eastAsia" w:ascii="仿宋_GB2312" w:hAnsi="宋体"/>
                <w:b/>
                <w:sz w:val="24"/>
                <w:szCs w:val="24"/>
              </w:rPr>
              <w:t>︶</w:t>
            </w:r>
          </w:p>
        </w:tc>
        <w:tc>
          <w:tcPr>
            <w:tcW w:w="388" w:type="dxa"/>
            <w:vMerge w:val="restart"/>
            <w:vAlign w:val="center"/>
          </w:tcPr>
          <w:p>
            <w:pPr>
              <w:pStyle w:val="8"/>
              <w:adjustRightInd w:val="0"/>
              <w:snapToGrid w:val="0"/>
              <w:spacing w:after="0" w:line="260" w:lineRule="exact"/>
              <w:ind w:left="-23"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网格员安全生产检查导则</w:t>
            </w:r>
            <w:r>
              <w:rPr>
                <w:rFonts w:hint="eastAsia" w:ascii="仿宋_GB2312" w:hAnsi="宋体"/>
                <w:b/>
                <w:sz w:val="24"/>
                <w:szCs w:val="24"/>
              </w:rPr>
              <w:t>︵</w:t>
            </w:r>
            <w:r>
              <w:rPr>
                <w:rFonts w:hint="eastAsia" w:ascii="仿宋_GB2312" w:hAnsi="宋体" w:eastAsia="仿宋_GB2312"/>
                <w:b/>
                <w:sz w:val="24"/>
                <w:szCs w:val="24"/>
              </w:rPr>
              <w:t>份</w:t>
            </w:r>
            <w:r>
              <w:rPr>
                <w:rFonts w:hint="eastAsia" w:ascii="仿宋_GB2312" w:hAnsi="宋体"/>
                <w:b/>
                <w:sz w:val="24"/>
                <w:szCs w:val="24"/>
              </w:rPr>
              <w:t>︶</w:t>
            </w:r>
          </w:p>
        </w:tc>
        <w:tc>
          <w:tcPr>
            <w:tcW w:w="533"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项目总数</w:t>
            </w:r>
            <w:r>
              <w:rPr>
                <w:rFonts w:hint="eastAsia" w:ascii="仿宋_GB2312" w:hAnsi="宋体"/>
                <w:b/>
                <w:sz w:val="24"/>
                <w:szCs w:val="24"/>
              </w:rPr>
              <w:t>︵</w:t>
            </w:r>
            <w:r>
              <w:rPr>
                <w:rFonts w:hint="eastAsia" w:ascii="仿宋_GB2312" w:hAnsi="宋体" w:eastAsia="仿宋_GB2312"/>
                <w:b/>
                <w:sz w:val="24"/>
                <w:szCs w:val="24"/>
              </w:rPr>
              <w:t>个</w:t>
            </w:r>
            <w:r>
              <w:rPr>
                <w:rFonts w:hint="eastAsia" w:ascii="仿宋_GB2312" w:hAnsi="宋体"/>
                <w:b/>
                <w:sz w:val="24"/>
                <w:szCs w:val="24"/>
              </w:rPr>
              <w:t>︶</w:t>
            </w:r>
          </w:p>
        </w:tc>
        <w:tc>
          <w:tcPr>
            <w:tcW w:w="1270" w:type="dxa"/>
            <w:vAlign w:val="center"/>
          </w:tcPr>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红色</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风险</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（个）</w:t>
            </w:r>
          </w:p>
        </w:tc>
        <w:tc>
          <w:tcPr>
            <w:tcW w:w="1187" w:type="dxa"/>
            <w:vAlign w:val="center"/>
          </w:tcPr>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橙色</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风险</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（个）</w:t>
            </w:r>
          </w:p>
        </w:tc>
        <w:tc>
          <w:tcPr>
            <w:tcW w:w="1275" w:type="dxa"/>
            <w:vAlign w:val="center"/>
          </w:tcPr>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黄色</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风险</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（个）</w:t>
            </w:r>
          </w:p>
        </w:tc>
        <w:tc>
          <w:tcPr>
            <w:tcW w:w="1135" w:type="dxa"/>
            <w:vAlign w:val="center"/>
          </w:tcPr>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蓝色</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风险</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（个）</w:t>
            </w:r>
          </w:p>
        </w:tc>
        <w:tc>
          <w:tcPr>
            <w:tcW w:w="386" w:type="dxa"/>
            <w:vMerge w:val="restart"/>
            <w:vAlign w:val="center"/>
          </w:tcPr>
          <w:p>
            <w:pPr>
              <w:pStyle w:val="8"/>
              <w:adjustRightInd w:val="0"/>
              <w:snapToGrid w:val="0"/>
              <w:spacing w:after="0" w:line="260" w:lineRule="exact"/>
              <w:ind w:left="-17"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检查项目</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发现隐患</w:t>
            </w:r>
            <w:r>
              <w:rPr>
                <w:rFonts w:hint="eastAsia" w:ascii="仿宋_GB2312" w:hAnsi="宋体"/>
                <w:b/>
                <w:sz w:val="24"/>
                <w:szCs w:val="24"/>
              </w:rPr>
              <w:t>︵</w:t>
            </w:r>
            <w:r>
              <w:rPr>
                <w:rFonts w:hint="eastAsia" w:ascii="仿宋_GB2312" w:hAnsi="宋体" w:eastAsia="仿宋_GB2312"/>
                <w:b/>
                <w:sz w:val="24"/>
                <w:szCs w:val="24"/>
              </w:rPr>
              <w:t>条</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督促整改隐患</w:t>
            </w:r>
            <w:r>
              <w:rPr>
                <w:rFonts w:hint="eastAsia" w:ascii="仿宋_GB2312" w:hAnsi="宋体"/>
                <w:b/>
                <w:sz w:val="24"/>
                <w:szCs w:val="24"/>
              </w:rPr>
              <w:t>︵</w:t>
            </w:r>
            <w:r>
              <w:rPr>
                <w:rFonts w:hint="eastAsia" w:ascii="仿宋_GB2312" w:hAnsi="宋体" w:eastAsia="仿宋_GB2312"/>
                <w:b/>
                <w:sz w:val="24"/>
                <w:szCs w:val="24"/>
              </w:rPr>
              <w:t>条</w:t>
            </w:r>
            <w:r>
              <w:rPr>
                <w:rFonts w:hint="eastAsia" w:ascii="仿宋_GB2312" w:hAnsi="宋体"/>
                <w:b/>
                <w:sz w:val="24"/>
                <w:szCs w:val="24"/>
              </w:rPr>
              <w:t>︶</w:t>
            </w:r>
          </w:p>
        </w:tc>
        <w:tc>
          <w:tcPr>
            <w:tcW w:w="773" w:type="dxa"/>
            <w:gridSpan w:val="2"/>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重大隐患挂牌督办</w:t>
            </w:r>
          </w:p>
        </w:tc>
        <w:tc>
          <w:tcPr>
            <w:tcW w:w="773" w:type="dxa"/>
            <w:gridSpan w:val="2"/>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罚款</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责令停产停业整顿</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3"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暂扣或吊销证照企业</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取缔关闭企业</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移送司法机关</w:t>
            </w:r>
            <w:r>
              <w:rPr>
                <w:rFonts w:hint="eastAsia" w:ascii="仿宋_GB2312" w:hAnsi="宋体"/>
                <w:b/>
                <w:sz w:val="24"/>
                <w:szCs w:val="24"/>
              </w:rPr>
              <w:t>︵</w:t>
            </w:r>
            <w:r>
              <w:rPr>
                <w:rFonts w:hint="eastAsia" w:ascii="仿宋_GB2312" w:hAnsi="宋体" w:eastAsia="仿宋_GB2312"/>
                <w:b/>
                <w:sz w:val="24"/>
                <w:szCs w:val="24"/>
              </w:rPr>
              <w:t>人次</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曝光典型案例企业</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6" w:type="dxa"/>
            <w:vMerge w:val="restart"/>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约谈警示企业</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6" w:type="dxa"/>
            <w:vMerge w:val="restart"/>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激励单位</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92" w:type="dxa"/>
            <w:vMerge w:val="restart"/>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约束单位</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1526" w:type="dxa"/>
            <w:vMerge w:val="continue"/>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b/>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388"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533"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1270"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总数</w:t>
            </w:r>
          </w:p>
        </w:tc>
        <w:tc>
          <w:tcPr>
            <w:tcW w:w="1187"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总数</w:t>
            </w:r>
          </w:p>
        </w:tc>
        <w:tc>
          <w:tcPr>
            <w:tcW w:w="1275"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总数</w:t>
            </w:r>
          </w:p>
        </w:tc>
        <w:tc>
          <w:tcPr>
            <w:tcW w:w="1135"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总数</w:t>
            </w: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386"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项目数</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7"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隐患数</w:t>
            </w:r>
            <w:r>
              <w:rPr>
                <w:rFonts w:hint="eastAsia" w:ascii="仿宋_GB2312" w:hAnsi="宋体"/>
                <w:b/>
                <w:sz w:val="24"/>
                <w:szCs w:val="24"/>
              </w:rPr>
              <w:t>︵</w:t>
            </w:r>
            <w:r>
              <w:rPr>
                <w:rFonts w:hint="eastAsia" w:ascii="仿宋_GB2312" w:hAnsi="宋体" w:eastAsia="仿宋_GB2312"/>
                <w:b/>
                <w:sz w:val="24"/>
                <w:szCs w:val="24"/>
              </w:rPr>
              <w:t>条</w:t>
            </w:r>
            <w:r>
              <w:rPr>
                <w:rFonts w:hint="eastAsia" w:ascii="仿宋_GB2312" w:hAnsi="宋体"/>
                <w:b/>
                <w:sz w:val="24"/>
                <w:szCs w:val="24"/>
              </w:rPr>
              <w:t>︶</w:t>
            </w:r>
          </w:p>
        </w:tc>
        <w:tc>
          <w:tcPr>
            <w:tcW w:w="386"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项目数</w:t>
            </w:r>
            <w:r>
              <w:rPr>
                <w:rFonts w:hint="eastAsia" w:ascii="仿宋_GB2312" w:hAnsi="宋体"/>
                <w:b/>
                <w:sz w:val="24"/>
                <w:szCs w:val="24"/>
              </w:rPr>
              <w:t>︵</w:t>
            </w:r>
            <w:r>
              <w:rPr>
                <w:rFonts w:hint="eastAsia" w:ascii="仿宋_GB2312" w:hAnsi="宋体" w:eastAsia="仿宋_GB2312"/>
                <w:b/>
                <w:sz w:val="24"/>
                <w:szCs w:val="24"/>
              </w:rPr>
              <w:t>个次</w:t>
            </w:r>
            <w:r>
              <w:rPr>
                <w:rFonts w:hint="eastAsia" w:ascii="仿宋_GB2312" w:hAnsi="宋体"/>
                <w:b/>
                <w:sz w:val="24"/>
                <w:szCs w:val="24"/>
              </w:rPr>
              <w:t>︶</w:t>
            </w:r>
          </w:p>
        </w:tc>
        <w:tc>
          <w:tcPr>
            <w:tcW w:w="387" w:type="dxa"/>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金额</w:t>
            </w:r>
            <w:r>
              <w:rPr>
                <w:rFonts w:hint="eastAsia" w:ascii="仿宋_GB2312" w:hAnsi="宋体"/>
                <w:b/>
                <w:sz w:val="24"/>
                <w:szCs w:val="24"/>
              </w:rPr>
              <w:t>︵</w:t>
            </w:r>
            <w:r>
              <w:rPr>
                <w:rFonts w:hint="eastAsia" w:ascii="仿宋_GB2312" w:hAnsi="宋体" w:eastAsia="仿宋_GB2312"/>
                <w:b/>
                <w:sz w:val="24"/>
                <w:szCs w:val="24"/>
              </w:rPr>
              <w:t>万元</w:t>
            </w:r>
            <w:r>
              <w:rPr>
                <w:rFonts w:hint="eastAsia" w:ascii="仿宋_GB2312" w:hAnsi="宋体"/>
                <w:b/>
                <w:sz w:val="24"/>
                <w:szCs w:val="24"/>
              </w:rPr>
              <w:t>︶</w:t>
            </w: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386"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392"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26" w:type="dxa"/>
            <w:vAlign w:val="center"/>
          </w:tcPr>
          <w:p>
            <w:pPr>
              <w:pStyle w:val="8"/>
              <w:adjustRightInd w:val="0"/>
              <w:snapToGrid w:val="0"/>
              <w:spacing w:after="0"/>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33"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270"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18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275"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135"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92"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26" w:type="dxa"/>
            <w:vAlign w:val="center"/>
          </w:tcPr>
          <w:p>
            <w:pPr>
              <w:pStyle w:val="8"/>
              <w:adjustRightInd w:val="0"/>
              <w:snapToGrid w:val="0"/>
              <w:spacing w:after="0"/>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33"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270"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18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275"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1135"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86"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392"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r>
    </w:tbl>
    <w:p>
      <w:pPr>
        <w:spacing w:beforeLines="30" w:line="300" w:lineRule="exact"/>
        <w:ind w:left="-424" w:leftChars="-202" w:right="-569" w:rightChars="-271" w:firstLine="480" w:firstLineChars="200"/>
        <w:jc w:val="left"/>
        <w:rPr>
          <w:rFonts w:hint="eastAsia" w:ascii="仿宋_GB2312" w:hAnsi="仿宋" w:eastAsia="仿宋_GB2312"/>
          <w:sz w:val="24"/>
        </w:rPr>
      </w:pPr>
      <w:r>
        <w:rPr>
          <w:rFonts w:hint="eastAsia" w:ascii="仿宋_GB2312" w:hAnsi="仿宋" w:eastAsia="仿宋_GB2312"/>
          <w:b/>
          <w:sz w:val="24"/>
        </w:rPr>
        <w:t>注：</w:t>
      </w:r>
      <w:r>
        <w:rPr>
          <w:rFonts w:hint="eastAsia" w:ascii="仿宋_GB2312" w:hAnsi="仿宋" w:eastAsia="仿宋_GB2312"/>
          <w:sz w:val="24"/>
        </w:rPr>
        <w:t>1.各填报单位按照各自所属的单位类型进行填报；2.四色安全风险分级动态监管指的是对项目安全生产状况进行整体评估，按照“红、橙、黄、蓝”确定项目整体安全风险等级；3.每月1日前上报上一个月巩固提高进展情况；4.激励、约束是指除执法外运用经济政策、社会荣誉、信贷信用、投融资、保险费率等单项或多项综合措施给予有关企业的激励、约束。</w:t>
      </w:r>
    </w:p>
    <w:p>
      <w:pPr>
        <w:adjustRightInd w:val="0"/>
        <w:snapToGrid w:val="0"/>
        <w:spacing w:line="56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6</w:t>
      </w:r>
    </w:p>
    <w:p>
      <w:pPr>
        <w:pStyle w:val="19"/>
        <w:snapToGrid w:val="0"/>
        <w:spacing w:beforeLines="100" w:afterLines="100" w:line="460" w:lineRule="exact"/>
        <w:jc w:val="center"/>
        <w:rPr>
          <w:rFonts w:eastAsia="方正小标宋简体"/>
          <w:bCs/>
          <w:sz w:val="36"/>
          <w:szCs w:val="36"/>
        </w:rPr>
      </w:pPr>
      <w:r>
        <w:rPr>
          <w:rFonts w:hint="eastAsia" w:eastAsia="方正小标宋简体"/>
          <w:bCs/>
          <w:sz w:val="36"/>
          <w:szCs w:val="36"/>
        </w:rPr>
        <w:t>安溪县物业服务项目</w:t>
      </w:r>
      <w:r>
        <w:rPr>
          <w:rFonts w:eastAsia="方正小标宋简体"/>
          <w:bCs/>
          <w:sz w:val="36"/>
          <w:szCs w:val="36"/>
        </w:rPr>
        <w:t>安全生产标准化提升专项行动巩固提高进展情况月报表（一）</w:t>
      </w:r>
    </w:p>
    <w:p>
      <w:pPr>
        <w:pStyle w:val="19"/>
        <w:snapToGrid w:val="0"/>
        <w:spacing w:beforeLines="50" w:afterLines="50" w:line="400" w:lineRule="exact"/>
        <w:ind w:left="0" w:leftChars="-233" w:right="-466" w:rightChars="-222" w:hanging="489" w:hangingChars="204"/>
        <w:jc w:val="center"/>
        <w:rPr>
          <w:rFonts w:ascii="宋体" w:hAnsi="宋体" w:cs="仿宋_GB2312"/>
          <w:b/>
          <w:bCs/>
          <w:kern w:val="2"/>
          <w:szCs w:val="24"/>
          <w:u w:val="single"/>
        </w:rPr>
      </w:pPr>
      <w:r>
        <w:rPr>
          <w:rFonts w:hint="eastAsia" w:ascii="仿宋_GB2312" w:hAnsi="宋体" w:eastAsia="仿宋_GB2312" w:cs="仿宋_GB2312"/>
          <w:kern w:val="2"/>
        </w:rPr>
        <w:t>填报单位（盖章）：                        填表人：                    联系电话：                       年   月   日</w:t>
      </w:r>
    </w:p>
    <w:tbl>
      <w:tblPr>
        <w:tblStyle w:val="9"/>
        <w:tblW w:w="14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213"/>
        <w:gridCol w:w="664"/>
        <w:gridCol w:w="777"/>
        <w:gridCol w:w="693"/>
        <w:gridCol w:w="639"/>
        <w:gridCol w:w="975"/>
        <w:gridCol w:w="1319"/>
        <w:gridCol w:w="1313"/>
        <w:gridCol w:w="866"/>
        <w:gridCol w:w="888"/>
        <w:gridCol w:w="831"/>
        <w:gridCol w:w="888"/>
        <w:gridCol w:w="86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7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left="-10" w:leftChars="-5" w:right="-29" w:rightChars="-14"/>
              <w:jc w:val="center"/>
              <w:rPr>
                <w:rFonts w:hint="eastAsia" w:ascii="仿宋_GB2312" w:hAnsi="宋体" w:eastAsia="仿宋_GB2312"/>
                <w:b/>
                <w:sz w:val="24"/>
              </w:rPr>
            </w:pPr>
            <w:r>
              <w:rPr>
                <w:rFonts w:hint="eastAsia" w:ascii="仿宋_GB2312" w:hAnsi="宋体" w:eastAsia="仿宋_GB2312"/>
                <w:b/>
                <w:sz w:val="24"/>
              </w:rPr>
              <w:t>填报</w:t>
            </w:r>
          </w:p>
          <w:p>
            <w:pPr>
              <w:spacing w:line="360" w:lineRule="exact"/>
              <w:jc w:val="center"/>
              <w:rPr>
                <w:rFonts w:hint="eastAsia" w:ascii="仿宋_GB2312" w:hAnsi="宋体" w:eastAsia="仿宋_GB2312"/>
                <w:b/>
                <w:sz w:val="24"/>
              </w:rPr>
            </w:pPr>
            <w:r>
              <w:rPr>
                <w:rFonts w:hint="eastAsia" w:ascii="仿宋_GB2312" w:hAnsi="宋体" w:eastAsia="仿宋_GB2312"/>
                <w:b/>
                <w:sz w:val="24"/>
              </w:rPr>
              <w:t>单位</w:t>
            </w:r>
          </w:p>
          <w:p>
            <w:pPr>
              <w:spacing w:line="360" w:lineRule="exact"/>
              <w:jc w:val="center"/>
              <w:rPr>
                <w:rFonts w:hint="eastAsia" w:ascii="仿宋_GB2312" w:hAnsi="宋体" w:eastAsia="仿宋_GB2312"/>
                <w:b/>
                <w:sz w:val="24"/>
              </w:rPr>
            </w:pPr>
            <w:r>
              <w:rPr>
                <w:rFonts w:hint="eastAsia" w:ascii="仿宋_GB2312" w:hAnsi="宋体" w:eastAsia="仿宋_GB2312"/>
                <w:b/>
                <w:sz w:val="24"/>
              </w:rPr>
              <w:t>类型</w:t>
            </w:r>
          </w:p>
        </w:tc>
        <w:tc>
          <w:tcPr>
            <w:tcW w:w="1213" w:type="dxa"/>
            <w:tcBorders>
              <w:top w:val="single" w:color="auto" w:sz="4" w:space="0"/>
              <w:left w:val="single" w:color="auto" w:sz="4" w:space="0"/>
              <w:bottom w:val="single" w:color="auto" w:sz="4" w:space="0"/>
              <w:right w:val="single" w:color="auto" w:sz="4" w:space="0"/>
            </w:tcBorders>
            <w:vAlign w:val="center"/>
          </w:tcPr>
          <w:p>
            <w:pPr>
              <w:spacing w:line="36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 xml:space="preserve"> 项目数量（家）</w:t>
            </w:r>
          </w:p>
        </w:tc>
        <w:tc>
          <w:tcPr>
            <w:tcW w:w="213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标杆数量（家）</w:t>
            </w:r>
          </w:p>
        </w:tc>
        <w:tc>
          <w:tcPr>
            <w:tcW w:w="958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ind w:right="-94" w:rightChars="-45"/>
              <w:jc w:val="center"/>
              <w:rPr>
                <w:rFonts w:hint="eastAsia" w:ascii="仿宋_GB2312" w:hAnsi="宋体" w:eastAsia="仿宋_GB2312"/>
                <w:b/>
                <w:sz w:val="24"/>
              </w:rPr>
            </w:pPr>
            <w:r>
              <w:rPr>
                <w:rFonts w:hint="eastAsia" w:ascii="仿宋_GB2312" w:hAnsi="宋体" w:eastAsia="仿宋_GB2312"/>
                <w:b/>
                <w:sz w:val="24"/>
              </w:rPr>
              <w:t>落实“一企一策”数量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jc w:val="center"/>
        </w:trPr>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宋体" w:eastAsia="仿宋_GB2312"/>
                <w:b/>
                <w:sz w:val="24"/>
              </w:rPr>
            </w:pPr>
          </w:p>
        </w:tc>
        <w:tc>
          <w:tcPr>
            <w:tcW w:w="1213" w:type="dxa"/>
            <w:tcBorders>
              <w:top w:val="nil"/>
              <w:left w:val="single" w:color="auto" w:sz="4" w:space="0"/>
              <w:right w:val="single" w:color="auto" w:sz="4" w:space="0"/>
            </w:tcBorders>
            <w:vAlign w:val="center"/>
          </w:tcPr>
          <w:p>
            <w:pPr>
              <w:spacing w:line="36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总</w:t>
            </w:r>
          </w:p>
          <w:p>
            <w:pPr>
              <w:spacing w:line="36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数</w:t>
            </w:r>
          </w:p>
        </w:tc>
        <w:tc>
          <w:tcPr>
            <w:tcW w:w="664" w:type="dxa"/>
            <w:tcBorders>
              <w:top w:val="nil"/>
              <w:left w:val="single" w:color="auto" w:sz="4" w:space="0"/>
              <w:right w:val="single" w:color="auto" w:sz="4" w:space="0"/>
            </w:tcBorders>
            <w:vAlign w:val="center"/>
          </w:tcPr>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达</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标</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类</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型</w:t>
            </w:r>
          </w:p>
        </w:tc>
        <w:tc>
          <w:tcPr>
            <w:tcW w:w="777" w:type="dxa"/>
            <w:tcBorders>
              <w:top w:val="nil"/>
              <w:left w:val="single" w:color="auto" w:sz="4" w:space="0"/>
              <w:right w:val="single" w:color="auto" w:sz="4" w:space="0"/>
            </w:tcBorders>
            <w:vAlign w:val="center"/>
          </w:tcPr>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合</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格</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项</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目</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（个）</w:t>
            </w:r>
          </w:p>
        </w:tc>
        <w:tc>
          <w:tcPr>
            <w:tcW w:w="693" w:type="dxa"/>
            <w:tcBorders>
              <w:top w:val="single" w:color="auto" w:sz="4" w:space="0"/>
              <w:left w:val="single" w:color="auto" w:sz="4" w:space="0"/>
              <w:right w:val="single" w:color="auto" w:sz="4" w:space="0"/>
            </w:tcBorders>
            <w:vAlign w:val="center"/>
          </w:tcPr>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标</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杆</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层</w:t>
            </w:r>
          </w:p>
          <w:p>
            <w:pPr>
              <w:spacing w:line="30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级</w:t>
            </w:r>
          </w:p>
        </w:tc>
        <w:tc>
          <w:tcPr>
            <w:tcW w:w="639" w:type="dxa"/>
            <w:tcBorders>
              <w:top w:val="single" w:color="auto" w:sz="4" w:space="0"/>
              <w:left w:val="single" w:color="auto" w:sz="4" w:space="0"/>
              <w:right w:val="single" w:color="auto" w:sz="4" w:space="0"/>
            </w:tcBorders>
            <w:vAlign w:val="center"/>
          </w:tcPr>
          <w:p>
            <w:pPr>
              <w:spacing w:line="360" w:lineRule="exact"/>
              <w:ind w:left="0" w:leftChars="-64" w:right="-94" w:rightChars="-45" w:hanging="134" w:hangingChars="56"/>
              <w:jc w:val="center"/>
              <w:rPr>
                <w:rFonts w:hint="eastAsia" w:ascii="仿宋_GB2312" w:hAnsi="宋体" w:eastAsia="仿宋_GB2312"/>
                <w:b/>
                <w:sz w:val="24"/>
              </w:rPr>
            </w:pPr>
            <w:r>
              <w:rPr>
                <w:rFonts w:hint="eastAsia" w:ascii="仿宋_GB2312" w:hAnsi="宋体" w:eastAsia="仿宋_GB2312"/>
                <w:b/>
                <w:sz w:val="24"/>
              </w:rPr>
              <w:t>标杆数量</w:t>
            </w:r>
          </w:p>
        </w:tc>
        <w:tc>
          <w:tcPr>
            <w:tcW w:w="975" w:type="dxa"/>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b/>
                <w:sz w:val="24"/>
              </w:rPr>
            </w:pPr>
            <w:r>
              <w:rPr>
                <w:rFonts w:hint="eastAsia" w:ascii="仿宋_GB2312" w:hAnsi="宋体" w:eastAsia="仿宋_GB2312"/>
                <w:b/>
                <w:sz w:val="24"/>
              </w:rPr>
              <w:t>编制安全检查清单（个）</w:t>
            </w:r>
          </w:p>
        </w:tc>
        <w:tc>
          <w:tcPr>
            <w:tcW w:w="1319" w:type="dxa"/>
            <w:tcBorders>
              <w:top w:val="single" w:color="auto" w:sz="4" w:space="0"/>
              <w:left w:val="single" w:color="auto" w:sz="4" w:space="0"/>
              <w:right w:val="single" w:color="auto" w:sz="4" w:space="0"/>
            </w:tcBorders>
            <w:vAlign w:val="center"/>
          </w:tcPr>
          <w:p>
            <w:pPr>
              <w:spacing w:line="280" w:lineRule="exact"/>
              <w:jc w:val="center"/>
              <w:rPr>
                <w:rFonts w:hint="eastAsia" w:ascii="仿宋_GB2312" w:hAnsi="宋体" w:eastAsia="仿宋_GB2312"/>
                <w:b/>
                <w:sz w:val="24"/>
              </w:rPr>
            </w:pPr>
            <w:r>
              <w:rPr>
                <w:rFonts w:hint="eastAsia" w:ascii="仿宋_GB2312" w:hAnsi="宋体" w:eastAsia="仿宋_GB2312"/>
                <w:b/>
                <w:sz w:val="24"/>
              </w:rPr>
              <w:t>编制全员安全生产责任制</w:t>
            </w:r>
          </w:p>
          <w:p>
            <w:pPr>
              <w:spacing w:line="360" w:lineRule="exact"/>
              <w:jc w:val="center"/>
              <w:rPr>
                <w:rFonts w:hint="eastAsia" w:ascii="仿宋_GB2312" w:hAnsi="宋体" w:eastAsia="仿宋_GB2312"/>
                <w:b/>
                <w:sz w:val="24"/>
              </w:rPr>
            </w:pPr>
            <w:r>
              <w:rPr>
                <w:rFonts w:hint="eastAsia" w:ascii="仿宋_GB2312" w:hAnsi="宋体" w:eastAsia="仿宋_GB2312"/>
                <w:b/>
                <w:sz w:val="24"/>
              </w:rPr>
              <w:t>及考核清单（个）</w:t>
            </w:r>
          </w:p>
        </w:tc>
        <w:tc>
          <w:tcPr>
            <w:tcW w:w="1313" w:type="dxa"/>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宋体" w:eastAsia="仿宋_GB2312"/>
                <w:b/>
                <w:sz w:val="24"/>
              </w:rPr>
            </w:pPr>
            <w:r>
              <w:rPr>
                <w:rFonts w:hint="eastAsia" w:ascii="仿宋_GB2312" w:hAnsi="宋体" w:eastAsia="仿宋_GB2312"/>
                <w:b/>
                <w:sz w:val="24"/>
              </w:rPr>
              <w:t>完成安全风险辨识评估（个）</w:t>
            </w:r>
          </w:p>
          <w:p>
            <w:pPr>
              <w:spacing w:line="360" w:lineRule="exact"/>
              <w:jc w:val="center"/>
              <w:rPr>
                <w:rFonts w:hint="eastAsia" w:ascii="仿宋_GB2312" w:hAnsi="宋体" w:eastAsia="仿宋_GB2312"/>
                <w:b/>
                <w:sz w:val="24"/>
              </w:rPr>
            </w:pPr>
          </w:p>
        </w:tc>
        <w:tc>
          <w:tcPr>
            <w:tcW w:w="866" w:type="dxa"/>
            <w:tcBorders>
              <w:top w:val="single" w:color="auto" w:sz="4" w:space="0"/>
              <w:left w:val="single" w:color="auto" w:sz="4" w:space="0"/>
              <w:right w:val="single" w:color="auto" w:sz="4" w:space="0"/>
            </w:tcBorders>
            <w:vAlign w:val="center"/>
          </w:tcPr>
          <w:p>
            <w:pPr>
              <w:spacing w:line="280" w:lineRule="exact"/>
              <w:jc w:val="center"/>
              <w:rPr>
                <w:rFonts w:hint="eastAsia" w:ascii="仿宋_GB2312" w:hAnsi="宋体" w:eastAsia="仿宋_GB2312"/>
                <w:b/>
                <w:sz w:val="24"/>
              </w:rPr>
            </w:pPr>
            <w:r>
              <w:rPr>
                <w:rFonts w:hint="eastAsia" w:ascii="仿宋_GB2312" w:hAnsi="宋体" w:eastAsia="仿宋_GB2312"/>
                <w:b/>
                <w:sz w:val="24"/>
              </w:rPr>
              <w:t>自查隐患数量</w:t>
            </w:r>
          </w:p>
          <w:p>
            <w:pPr>
              <w:spacing w:line="280" w:lineRule="exact"/>
              <w:jc w:val="center"/>
              <w:rPr>
                <w:rFonts w:hint="eastAsia" w:ascii="仿宋_GB2312" w:hAnsi="宋体" w:eastAsia="仿宋_GB2312"/>
                <w:b/>
                <w:sz w:val="24"/>
              </w:rPr>
            </w:pPr>
            <w:r>
              <w:rPr>
                <w:rFonts w:hint="eastAsia" w:ascii="仿宋_GB2312" w:hAnsi="宋体" w:eastAsia="仿宋_GB2312"/>
                <w:b/>
                <w:sz w:val="24"/>
              </w:rPr>
              <w:t>（条）</w:t>
            </w:r>
          </w:p>
        </w:tc>
        <w:tc>
          <w:tcPr>
            <w:tcW w:w="888" w:type="dxa"/>
            <w:tcBorders>
              <w:top w:val="single" w:color="auto" w:sz="4" w:space="0"/>
              <w:left w:val="single" w:color="auto" w:sz="4" w:space="0"/>
              <w:right w:val="single" w:color="auto" w:sz="4" w:space="0"/>
            </w:tcBorders>
            <w:vAlign w:val="center"/>
          </w:tcPr>
          <w:p>
            <w:pPr>
              <w:spacing w:line="280" w:lineRule="exact"/>
              <w:jc w:val="center"/>
              <w:rPr>
                <w:rFonts w:hint="eastAsia" w:ascii="仿宋_GB2312" w:hAnsi="宋体" w:eastAsia="仿宋_GB2312"/>
                <w:b/>
                <w:sz w:val="24"/>
              </w:rPr>
            </w:pPr>
            <w:r>
              <w:rPr>
                <w:rFonts w:hint="eastAsia" w:ascii="仿宋_GB2312" w:hAnsi="宋体" w:eastAsia="仿宋_GB2312"/>
                <w:b/>
                <w:sz w:val="24"/>
              </w:rPr>
              <w:t>整改隐患数量（条）</w:t>
            </w:r>
          </w:p>
        </w:tc>
        <w:tc>
          <w:tcPr>
            <w:tcW w:w="831" w:type="dxa"/>
            <w:tcBorders>
              <w:top w:val="single" w:color="auto" w:sz="4" w:space="0"/>
              <w:left w:val="single" w:color="auto" w:sz="4" w:space="0"/>
              <w:right w:val="single" w:color="auto" w:sz="4" w:space="0"/>
            </w:tcBorders>
            <w:vAlign w:val="center"/>
          </w:tcPr>
          <w:p>
            <w:pPr>
              <w:spacing w:line="280" w:lineRule="exact"/>
              <w:jc w:val="center"/>
              <w:rPr>
                <w:rFonts w:hint="eastAsia" w:ascii="仿宋_GB2312" w:hAnsi="宋体" w:eastAsia="仿宋_GB2312"/>
                <w:b/>
                <w:sz w:val="24"/>
              </w:rPr>
            </w:pPr>
            <w:r>
              <w:rPr>
                <w:rFonts w:hint="eastAsia" w:ascii="仿宋_GB2312" w:hAnsi="宋体" w:eastAsia="仿宋_GB2312"/>
                <w:b/>
                <w:sz w:val="24"/>
              </w:rPr>
              <w:t>编制应急预案（个）</w:t>
            </w:r>
          </w:p>
        </w:tc>
        <w:tc>
          <w:tcPr>
            <w:tcW w:w="888" w:type="dxa"/>
            <w:tcBorders>
              <w:top w:val="single" w:color="auto" w:sz="4" w:space="0"/>
              <w:left w:val="single" w:color="auto" w:sz="4" w:space="0"/>
              <w:right w:val="single" w:color="auto" w:sz="4" w:space="0"/>
            </w:tcBorders>
            <w:vAlign w:val="center"/>
          </w:tcPr>
          <w:p>
            <w:pPr>
              <w:spacing w:line="280" w:lineRule="exact"/>
              <w:jc w:val="center"/>
              <w:rPr>
                <w:rFonts w:hint="eastAsia" w:ascii="仿宋_GB2312" w:hAnsi="宋体" w:eastAsia="仿宋_GB2312"/>
                <w:b/>
                <w:sz w:val="24"/>
              </w:rPr>
            </w:pPr>
            <w:r>
              <w:rPr>
                <w:rFonts w:hint="eastAsia" w:ascii="仿宋_GB2312" w:hAnsi="宋体" w:eastAsia="仿宋_GB2312"/>
                <w:b/>
                <w:sz w:val="24"/>
              </w:rPr>
              <w:t>应用信息化管理系统（个）</w:t>
            </w:r>
          </w:p>
          <w:p>
            <w:pPr>
              <w:spacing w:line="280" w:lineRule="exact"/>
              <w:jc w:val="center"/>
              <w:rPr>
                <w:rFonts w:hint="eastAsia" w:ascii="仿宋_GB2312" w:hAnsi="宋体" w:eastAsia="仿宋_GB2312"/>
                <w:b/>
                <w:sz w:val="24"/>
              </w:rPr>
            </w:pPr>
          </w:p>
        </w:tc>
        <w:tc>
          <w:tcPr>
            <w:tcW w:w="86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仿宋_GB2312" w:hAnsi="宋体" w:eastAsia="仿宋_GB2312"/>
                <w:b/>
                <w:sz w:val="24"/>
              </w:rPr>
            </w:pPr>
            <w:r>
              <w:rPr>
                <w:rFonts w:hint="eastAsia" w:ascii="仿宋_GB2312" w:hAnsi="宋体" w:eastAsia="仿宋_GB2312"/>
                <w:b/>
                <w:sz w:val="24"/>
              </w:rPr>
              <w:t>强化5S现场管理（个）</w:t>
            </w:r>
          </w:p>
        </w:tc>
        <w:tc>
          <w:tcPr>
            <w:tcW w:w="999" w:type="dxa"/>
            <w:tcBorders>
              <w:top w:val="single" w:color="auto" w:sz="4" w:space="0"/>
              <w:left w:val="single" w:color="auto" w:sz="4" w:space="0"/>
              <w:bottom w:val="single" w:color="auto" w:sz="4" w:space="0"/>
              <w:right w:val="single" w:color="auto" w:sz="4" w:space="0"/>
            </w:tcBorders>
            <w:vAlign w:val="center"/>
          </w:tcPr>
          <w:p>
            <w:pPr>
              <w:spacing w:line="280" w:lineRule="exact"/>
              <w:ind w:left="-126" w:leftChars="-60" w:firstLine="16" w:firstLineChars="7"/>
              <w:jc w:val="center"/>
              <w:rPr>
                <w:rFonts w:hint="eastAsia" w:ascii="仿宋_GB2312" w:hAnsi="宋体" w:eastAsia="仿宋_GB2312"/>
                <w:b/>
                <w:sz w:val="24"/>
              </w:rPr>
            </w:pPr>
            <w:r>
              <w:rPr>
                <w:rFonts w:hint="eastAsia" w:ascii="仿宋_GB2312" w:hAnsi="宋体" w:eastAsia="仿宋_GB2312"/>
                <w:b/>
                <w:sz w:val="24"/>
              </w:rPr>
              <w:t>完善六有可视化警示标识（个）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170" w:type="dxa"/>
            <w:tcBorders>
              <w:top w:val="nil"/>
              <w:left w:val="single" w:color="auto" w:sz="4" w:space="0"/>
              <w:bottom w:val="single" w:color="auto" w:sz="4" w:space="0"/>
              <w:right w:val="single" w:color="auto" w:sz="4" w:space="0"/>
            </w:tcBorders>
            <w:vAlign w:val="center"/>
          </w:tcPr>
          <w:p>
            <w:pPr>
              <w:ind w:left="-58" w:leftChars="-40" w:right="-79" w:rightChars="-38" w:hanging="26" w:hangingChars="11"/>
              <w:jc w:val="center"/>
              <w:rPr>
                <w:rFonts w:hint="eastAsia" w:ascii="仿宋_GB2312" w:eastAsia="仿宋_GB2312"/>
                <w:sz w:val="24"/>
              </w:rPr>
            </w:pPr>
            <w:r>
              <w:rPr>
                <w:rFonts w:hint="eastAsia" w:ascii="仿宋_GB2312" w:hAnsi="宋体" w:eastAsia="仿宋_GB2312"/>
                <w:sz w:val="24"/>
              </w:rPr>
              <w:t>县</w:t>
            </w:r>
          </w:p>
          <w:p>
            <w:pPr>
              <w:ind w:left="-58" w:leftChars="-40" w:right="-79" w:rightChars="-38" w:hanging="26" w:hangingChars="11"/>
              <w:jc w:val="center"/>
              <w:rPr>
                <w:rFonts w:hint="eastAsia" w:ascii="仿宋_GB2312" w:eastAsia="仿宋_GB2312"/>
                <w:sz w:val="24"/>
              </w:rPr>
            </w:pPr>
            <w:r>
              <w:rPr>
                <w:rFonts w:hint="eastAsia" w:ascii="仿宋_GB2312" w:hAnsi="宋体" w:eastAsia="仿宋_GB2312"/>
                <w:sz w:val="24"/>
              </w:rPr>
              <w:t>（市、区）</w:t>
            </w:r>
          </w:p>
        </w:tc>
        <w:tc>
          <w:tcPr>
            <w:tcW w:w="1213" w:type="dxa"/>
            <w:tcBorders>
              <w:top w:val="nil"/>
              <w:left w:val="single" w:color="auto" w:sz="4" w:space="0"/>
              <w:right w:val="single" w:color="auto" w:sz="4" w:space="0"/>
            </w:tcBorders>
            <w:vAlign w:val="center"/>
          </w:tcPr>
          <w:p>
            <w:pPr>
              <w:spacing w:line="360" w:lineRule="exact"/>
              <w:ind w:left="0" w:leftChars="-64" w:right="-94" w:rightChars="-45" w:hanging="134" w:hangingChars="56"/>
              <w:jc w:val="center"/>
              <w:rPr>
                <w:rFonts w:hint="eastAsia" w:ascii="仿宋_GB2312" w:hAnsi="宋体" w:eastAsia="仿宋_GB2312"/>
                <w:b/>
                <w:sz w:val="24"/>
              </w:rPr>
            </w:pPr>
          </w:p>
        </w:tc>
        <w:tc>
          <w:tcPr>
            <w:tcW w:w="664" w:type="dxa"/>
            <w:tcBorders>
              <w:top w:val="single" w:color="auto" w:sz="4" w:space="0"/>
              <w:left w:val="single" w:color="auto" w:sz="4" w:space="0"/>
              <w:right w:val="single" w:color="auto" w:sz="4" w:space="0"/>
            </w:tcBorders>
            <w:vAlign w:val="center"/>
          </w:tcPr>
          <w:p>
            <w:pPr>
              <w:ind w:left="135" w:leftChars="-57" w:right="-94" w:rightChars="-45" w:hanging="254" w:hangingChars="106"/>
              <w:jc w:val="center"/>
              <w:rPr>
                <w:rFonts w:hint="eastAsia" w:ascii="仿宋_GB2312" w:hAnsi="宋体" w:eastAsia="仿宋_GB2312"/>
                <w:sz w:val="24"/>
              </w:rPr>
            </w:pPr>
            <w:r>
              <w:rPr>
                <w:rFonts w:hint="eastAsia" w:ascii="仿宋_GB2312" w:hAnsi="宋体" w:eastAsia="仿宋_GB2312"/>
                <w:sz w:val="24"/>
              </w:rPr>
              <w:t>地标</w:t>
            </w:r>
          </w:p>
        </w:tc>
        <w:tc>
          <w:tcPr>
            <w:tcW w:w="777" w:type="dxa"/>
            <w:tcBorders>
              <w:left w:val="single" w:color="auto" w:sz="4" w:space="0"/>
              <w:right w:val="single" w:color="auto" w:sz="4" w:space="0"/>
            </w:tcBorders>
            <w:vAlign w:val="center"/>
          </w:tcPr>
          <w:p>
            <w:pPr>
              <w:jc w:val="center"/>
              <w:rPr>
                <w:rFonts w:hint="eastAsia" w:ascii="仿宋_GB2312" w:hAnsi="宋体" w:eastAsia="仿宋_GB2312"/>
                <w:sz w:val="24"/>
              </w:rPr>
            </w:pPr>
          </w:p>
        </w:tc>
        <w:tc>
          <w:tcPr>
            <w:tcW w:w="693" w:type="dxa"/>
            <w:tcBorders>
              <w:top w:val="single" w:color="auto" w:sz="4" w:space="0"/>
              <w:left w:val="single" w:color="auto" w:sz="4" w:space="0"/>
              <w:right w:val="single" w:color="auto" w:sz="4" w:space="0"/>
            </w:tcBorders>
            <w:vAlign w:val="center"/>
          </w:tcPr>
          <w:p>
            <w:pPr>
              <w:ind w:left="135" w:leftChars="-57" w:right="-94" w:rightChars="-45" w:hanging="254" w:hangingChars="106"/>
              <w:jc w:val="center"/>
              <w:rPr>
                <w:rFonts w:hint="eastAsia" w:ascii="仿宋_GB2312" w:hAnsi="宋体" w:eastAsia="仿宋_GB2312"/>
                <w:sz w:val="24"/>
              </w:rPr>
            </w:pPr>
            <w:r>
              <w:rPr>
                <w:rFonts w:hint="eastAsia" w:ascii="仿宋_GB2312" w:hAnsi="宋体" w:eastAsia="仿宋_GB2312"/>
                <w:sz w:val="24"/>
              </w:rPr>
              <w:t>县级</w:t>
            </w:r>
          </w:p>
        </w:tc>
        <w:tc>
          <w:tcPr>
            <w:tcW w:w="639" w:type="dxa"/>
            <w:tcBorders>
              <w:top w:val="single" w:color="auto" w:sz="4" w:space="0"/>
              <w:left w:val="single" w:color="auto" w:sz="4" w:space="0"/>
              <w:right w:val="single" w:color="auto" w:sz="4" w:space="0"/>
            </w:tcBorders>
            <w:vAlign w:val="center"/>
          </w:tcPr>
          <w:p>
            <w:pPr>
              <w:jc w:val="center"/>
              <w:rPr>
                <w:rFonts w:hint="eastAsia" w:ascii="仿宋_GB2312" w:hAnsi="宋体" w:eastAsia="仿宋_GB2312"/>
                <w:sz w:val="24"/>
              </w:rPr>
            </w:pPr>
          </w:p>
        </w:tc>
        <w:tc>
          <w:tcPr>
            <w:tcW w:w="975"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p>
        </w:tc>
        <w:tc>
          <w:tcPr>
            <w:tcW w:w="1319"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p>
        </w:tc>
        <w:tc>
          <w:tcPr>
            <w:tcW w:w="1313" w:type="dxa"/>
            <w:tcBorders>
              <w:top w:val="nil"/>
              <w:left w:val="single" w:color="auto" w:sz="4" w:space="0"/>
              <w:bottom w:val="single" w:color="auto" w:sz="4" w:space="0"/>
              <w:right w:val="single" w:color="auto" w:sz="4" w:space="0"/>
            </w:tcBorders>
            <w:vAlign w:val="center"/>
          </w:tcPr>
          <w:p>
            <w:pPr>
              <w:jc w:val="center"/>
              <w:rPr>
                <w:rFonts w:hint="eastAsia" w:ascii="仿宋_GB2312" w:hAnsi="宋体" w:eastAsia="仿宋_GB2312"/>
                <w:sz w:val="24"/>
              </w:rPr>
            </w:pPr>
          </w:p>
        </w:tc>
        <w:tc>
          <w:tcPr>
            <w:tcW w:w="866"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88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831"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888" w:type="dxa"/>
            <w:tcBorders>
              <w:top w:val="nil"/>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8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sz w:val="24"/>
              </w:rPr>
            </w:pPr>
          </w:p>
        </w:tc>
      </w:tr>
    </w:tbl>
    <w:p>
      <w:pPr>
        <w:spacing w:beforeLines="50" w:line="300" w:lineRule="exact"/>
        <w:ind w:left="-424" w:leftChars="-202" w:right="-569" w:rightChars="-271" w:firstLine="480" w:firstLineChars="200"/>
        <w:jc w:val="left"/>
        <w:rPr>
          <w:rFonts w:ascii="仿宋_GB2312" w:hAnsi="仿宋" w:eastAsia="仿宋_GB2312"/>
          <w:sz w:val="24"/>
        </w:rPr>
      </w:pPr>
      <w:r>
        <w:rPr>
          <w:rFonts w:ascii="仿宋_GB2312" w:hAnsi="仿宋" w:eastAsia="仿宋_GB2312"/>
          <w:b/>
          <w:sz w:val="24"/>
        </w:rPr>
        <w:t>注：</w:t>
      </w:r>
      <w:r>
        <w:rPr>
          <w:rFonts w:ascii="仿宋_GB2312" w:hAnsi="仿宋" w:eastAsia="仿宋_GB2312"/>
          <w:sz w:val="24"/>
        </w:rPr>
        <w:t>1.各填报单位按照各自所属的单位类型进行填报；</w:t>
      </w:r>
      <w:r>
        <w:rPr>
          <w:rFonts w:hint="eastAsia" w:ascii="仿宋_GB2312" w:hAnsi="仿宋" w:eastAsia="仿宋_GB2312"/>
          <w:sz w:val="24"/>
        </w:rPr>
        <w:t>2</w:t>
      </w:r>
      <w:r>
        <w:rPr>
          <w:rFonts w:ascii="仿宋_GB2312" w:hAnsi="仿宋" w:eastAsia="仿宋_GB2312"/>
          <w:sz w:val="24"/>
        </w:rPr>
        <w:t>.每月3日前上报上一个月巩固提高进展情况</w:t>
      </w:r>
      <w:r>
        <w:rPr>
          <w:rFonts w:hint="eastAsia" w:ascii="仿宋_GB2312" w:hAnsi="仿宋" w:eastAsia="仿宋_GB2312"/>
          <w:sz w:val="24"/>
        </w:rPr>
        <w:t>。</w:t>
      </w:r>
    </w:p>
    <w:p>
      <w:pPr>
        <w:spacing w:line="560" w:lineRule="exact"/>
        <w:jc w:val="left"/>
        <w:rPr>
          <w:rFonts w:ascii="仿宋_GB2312" w:eastAsia="仿宋_GB2312"/>
          <w:sz w:val="32"/>
          <w:szCs w:val="32"/>
        </w:rPr>
      </w:pPr>
    </w:p>
    <w:p>
      <w:pPr>
        <w:adjustRightInd w:val="0"/>
        <w:snapToGrid w:val="0"/>
        <w:spacing w:line="56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7</w:t>
      </w:r>
    </w:p>
    <w:p>
      <w:pPr>
        <w:pStyle w:val="19"/>
        <w:snapToGrid w:val="0"/>
        <w:spacing w:beforeLines="100" w:afterLines="100" w:line="460" w:lineRule="exact"/>
        <w:jc w:val="center"/>
        <w:rPr>
          <w:rFonts w:eastAsia="方正小标宋简体"/>
          <w:bCs/>
          <w:sz w:val="36"/>
          <w:szCs w:val="36"/>
        </w:rPr>
      </w:pPr>
      <w:r>
        <w:rPr>
          <w:rFonts w:hint="eastAsia" w:eastAsia="方正小标宋简体"/>
          <w:bCs/>
          <w:sz w:val="36"/>
          <w:szCs w:val="36"/>
          <w:lang w:eastAsia="zh-CN"/>
        </w:rPr>
        <w:t>安溪县</w:t>
      </w:r>
      <w:r>
        <w:rPr>
          <w:rFonts w:hint="eastAsia" w:eastAsia="方正小标宋简体"/>
          <w:bCs/>
          <w:sz w:val="36"/>
          <w:szCs w:val="36"/>
        </w:rPr>
        <w:t>物业服务项目安全生产标准化提升专项行动巩固提高进展情况月报表（二）</w:t>
      </w:r>
    </w:p>
    <w:p>
      <w:pPr>
        <w:pStyle w:val="19"/>
        <w:snapToGrid w:val="0"/>
        <w:spacing w:beforeLines="50" w:afterLines="50" w:line="400" w:lineRule="exact"/>
        <w:ind w:left="0" w:leftChars="-233" w:right="-466" w:rightChars="-222" w:hanging="489" w:hangingChars="204"/>
        <w:jc w:val="center"/>
        <w:rPr>
          <w:rFonts w:ascii="宋体" w:hAnsi="宋体" w:cs="仿宋_GB2312"/>
          <w:b/>
          <w:bCs/>
          <w:kern w:val="2"/>
          <w:szCs w:val="24"/>
          <w:u w:val="single"/>
        </w:rPr>
      </w:pPr>
      <w:r>
        <w:rPr>
          <w:rFonts w:hint="eastAsia" w:ascii="仿宋_GB2312" w:hAnsi="宋体" w:eastAsia="仿宋_GB2312" w:cs="仿宋_GB2312"/>
          <w:kern w:val="2"/>
        </w:rPr>
        <w:t>填报单位（盖章）：                        填表人：                    联系电话：                       年   月   日</w:t>
      </w:r>
    </w:p>
    <w:tbl>
      <w:tblPr>
        <w:tblStyle w:val="9"/>
        <w:tblpPr w:leftFromText="180" w:rightFromText="180" w:vertAnchor="text" w:tblpXSpec="center" w:tblpY="1"/>
        <w:tblOverlap w:val="never"/>
        <w:tblW w:w="14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8"/>
        <w:gridCol w:w="709"/>
        <w:gridCol w:w="709"/>
        <w:gridCol w:w="708"/>
        <w:gridCol w:w="709"/>
        <w:gridCol w:w="709"/>
        <w:gridCol w:w="709"/>
        <w:gridCol w:w="578"/>
        <w:gridCol w:w="578"/>
        <w:gridCol w:w="578"/>
        <w:gridCol w:w="578"/>
        <w:gridCol w:w="578"/>
        <w:gridCol w:w="578"/>
        <w:gridCol w:w="578"/>
        <w:gridCol w:w="490"/>
        <w:gridCol w:w="479"/>
        <w:gridCol w:w="514"/>
        <w:gridCol w:w="567"/>
        <w:gridCol w:w="581"/>
        <w:gridCol w:w="567"/>
        <w:gridCol w:w="558"/>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Merge w:val="restart"/>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填报</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单位</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类型</w:t>
            </w:r>
          </w:p>
        </w:tc>
        <w:tc>
          <w:tcPr>
            <w:tcW w:w="1417" w:type="dxa"/>
            <w:gridSpan w:val="2"/>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优化标准规范</w:t>
            </w:r>
          </w:p>
        </w:tc>
        <w:tc>
          <w:tcPr>
            <w:tcW w:w="3544" w:type="dxa"/>
            <w:gridSpan w:val="5"/>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四色安全风险分级动态监管</w:t>
            </w:r>
          </w:p>
        </w:tc>
        <w:tc>
          <w:tcPr>
            <w:tcW w:w="8361" w:type="dxa"/>
            <w:gridSpan w:val="15"/>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执法激励约束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242" w:type="dxa"/>
            <w:vMerge w:val="continue"/>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b/>
                <w:sz w:val="24"/>
                <w:szCs w:val="24"/>
              </w:rPr>
            </w:pPr>
          </w:p>
        </w:tc>
        <w:tc>
          <w:tcPr>
            <w:tcW w:w="708" w:type="dxa"/>
            <w:vMerge w:val="restart"/>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安全生产检查清单(份)</w:t>
            </w:r>
          </w:p>
        </w:tc>
        <w:tc>
          <w:tcPr>
            <w:tcW w:w="709" w:type="dxa"/>
            <w:vMerge w:val="restart"/>
            <w:vAlign w:val="center"/>
          </w:tcPr>
          <w:p>
            <w:pPr>
              <w:pStyle w:val="8"/>
              <w:adjustRightInd w:val="0"/>
              <w:snapToGrid w:val="0"/>
              <w:spacing w:after="0" w:line="260" w:lineRule="exact"/>
              <w:ind w:left="-23"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标准化运行提升指南(份)</w:t>
            </w:r>
          </w:p>
        </w:tc>
        <w:tc>
          <w:tcPr>
            <w:tcW w:w="709" w:type="dxa"/>
            <w:vMerge w:val="restart"/>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项目总数(家)</w:t>
            </w:r>
          </w:p>
        </w:tc>
        <w:tc>
          <w:tcPr>
            <w:tcW w:w="708" w:type="dxa"/>
            <w:vMerge w:val="restart"/>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红色风险</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(家)</w:t>
            </w:r>
          </w:p>
        </w:tc>
        <w:tc>
          <w:tcPr>
            <w:tcW w:w="709" w:type="dxa"/>
            <w:vMerge w:val="restart"/>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橙色风险</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(家)</w:t>
            </w:r>
          </w:p>
        </w:tc>
        <w:tc>
          <w:tcPr>
            <w:tcW w:w="709" w:type="dxa"/>
            <w:vMerge w:val="restart"/>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黄色风险</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(家)</w:t>
            </w:r>
          </w:p>
        </w:tc>
        <w:tc>
          <w:tcPr>
            <w:tcW w:w="709" w:type="dxa"/>
            <w:vMerge w:val="restart"/>
            <w:vAlign w:val="center"/>
          </w:tcPr>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蓝色</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风险</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(家)</w:t>
            </w:r>
          </w:p>
        </w:tc>
        <w:tc>
          <w:tcPr>
            <w:tcW w:w="578"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检查</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项目︵</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家</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tc>
        <w:tc>
          <w:tcPr>
            <w:tcW w:w="578"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发现</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隐患︵</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条</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tc>
        <w:tc>
          <w:tcPr>
            <w:tcW w:w="578"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督促整改隐患︵</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条</w:t>
            </w:r>
          </w:p>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tc>
        <w:tc>
          <w:tcPr>
            <w:tcW w:w="1156" w:type="dxa"/>
            <w:gridSpan w:val="2"/>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重大隐患挂牌督办</w:t>
            </w:r>
          </w:p>
        </w:tc>
        <w:tc>
          <w:tcPr>
            <w:tcW w:w="1156" w:type="dxa"/>
            <w:gridSpan w:val="2"/>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罚款</w:t>
            </w:r>
          </w:p>
        </w:tc>
        <w:tc>
          <w:tcPr>
            <w:tcW w:w="490"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责令停产停业整顿</w:t>
            </w:r>
            <w:r>
              <w:rPr>
                <w:rFonts w:hint="eastAsia" w:ascii="仿宋_GB2312" w:hAnsi="宋体"/>
                <w:b/>
                <w:sz w:val="24"/>
                <w:szCs w:val="24"/>
              </w:rPr>
              <w:t>︵</w:t>
            </w:r>
            <w:r>
              <w:rPr>
                <w:rFonts w:hint="eastAsia" w:ascii="仿宋_GB2312" w:hAnsi="宋体" w:eastAsia="仿宋_GB2312"/>
                <w:b/>
                <w:sz w:val="24"/>
                <w:szCs w:val="24"/>
              </w:rPr>
              <w:t>家次</w:t>
            </w:r>
            <w:r>
              <w:rPr>
                <w:rFonts w:hint="eastAsia" w:ascii="仿宋_GB2312" w:hAnsi="宋体"/>
                <w:b/>
                <w:sz w:val="24"/>
                <w:szCs w:val="24"/>
              </w:rPr>
              <w:t>︶</w:t>
            </w:r>
          </w:p>
        </w:tc>
        <w:tc>
          <w:tcPr>
            <w:tcW w:w="479" w:type="dxa"/>
            <w:vMerge w:val="restart"/>
            <w:vAlign w:val="center"/>
          </w:tcPr>
          <w:p>
            <w:pPr>
              <w:pStyle w:val="8"/>
              <w:adjustRightInd w:val="0"/>
              <w:snapToGrid w:val="0"/>
              <w:spacing w:after="0" w:line="240" w:lineRule="exact"/>
              <w:ind w:left="-23"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暂扣或吊销证照企业</w:t>
            </w:r>
            <w:r>
              <w:rPr>
                <w:rFonts w:hint="eastAsia" w:ascii="仿宋_GB2312" w:hAnsi="宋体"/>
                <w:b/>
                <w:sz w:val="24"/>
                <w:szCs w:val="24"/>
              </w:rPr>
              <w:t>︵</w:t>
            </w:r>
            <w:r>
              <w:rPr>
                <w:rFonts w:hint="eastAsia" w:ascii="仿宋_GB2312" w:hAnsi="宋体" w:eastAsia="仿宋_GB2312"/>
                <w:b/>
                <w:sz w:val="24"/>
                <w:szCs w:val="24"/>
              </w:rPr>
              <w:t>家次</w:t>
            </w:r>
            <w:r>
              <w:rPr>
                <w:rFonts w:hint="eastAsia" w:ascii="仿宋_GB2312" w:hAnsi="宋体"/>
                <w:b/>
                <w:sz w:val="24"/>
                <w:szCs w:val="24"/>
              </w:rPr>
              <w:t>︶</w:t>
            </w:r>
          </w:p>
        </w:tc>
        <w:tc>
          <w:tcPr>
            <w:tcW w:w="514"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取缔关闭企业</w:t>
            </w:r>
            <w:r>
              <w:rPr>
                <w:rFonts w:hint="eastAsia" w:ascii="仿宋_GB2312" w:hAnsi="宋体"/>
                <w:b/>
                <w:sz w:val="24"/>
                <w:szCs w:val="24"/>
              </w:rPr>
              <w:t>︵</w:t>
            </w:r>
            <w:r>
              <w:rPr>
                <w:rFonts w:hint="eastAsia" w:ascii="仿宋_GB2312" w:hAnsi="宋体" w:eastAsia="仿宋_GB2312"/>
                <w:b/>
                <w:sz w:val="24"/>
                <w:szCs w:val="24"/>
              </w:rPr>
              <w:t>家次</w:t>
            </w:r>
            <w:r>
              <w:rPr>
                <w:rFonts w:hint="eastAsia" w:ascii="仿宋_GB2312" w:hAnsi="宋体"/>
                <w:b/>
                <w:sz w:val="24"/>
                <w:szCs w:val="24"/>
              </w:rPr>
              <w:t>︶</w:t>
            </w:r>
          </w:p>
        </w:tc>
        <w:tc>
          <w:tcPr>
            <w:tcW w:w="567"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移送司法机关</w:t>
            </w:r>
            <w:r>
              <w:rPr>
                <w:rFonts w:hint="eastAsia" w:ascii="仿宋_GB2312" w:hAnsi="宋体"/>
                <w:b/>
                <w:sz w:val="24"/>
                <w:szCs w:val="24"/>
              </w:rPr>
              <w:t>︵</w:t>
            </w:r>
            <w:r>
              <w:rPr>
                <w:rFonts w:hint="eastAsia" w:ascii="仿宋_GB2312" w:hAnsi="宋体" w:eastAsia="仿宋_GB2312"/>
                <w:b/>
                <w:sz w:val="24"/>
                <w:szCs w:val="24"/>
              </w:rPr>
              <w:t>人次</w:t>
            </w:r>
            <w:r>
              <w:rPr>
                <w:rFonts w:hint="eastAsia" w:ascii="仿宋_GB2312" w:hAnsi="宋体"/>
                <w:b/>
                <w:sz w:val="24"/>
                <w:szCs w:val="24"/>
              </w:rPr>
              <w:t>︶</w:t>
            </w:r>
          </w:p>
        </w:tc>
        <w:tc>
          <w:tcPr>
            <w:tcW w:w="581"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曝光典型案例企业</w:t>
            </w:r>
            <w:r>
              <w:rPr>
                <w:rFonts w:hint="eastAsia" w:ascii="仿宋_GB2312" w:hAnsi="宋体"/>
                <w:b/>
                <w:sz w:val="24"/>
                <w:szCs w:val="24"/>
              </w:rPr>
              <w:t>︵</w:t>
            </w:r>
            <w:r>
              <w:rPr>
                <w:rFonts w:hint="eastAsia" w:ascii="仿宋_GB2312" w:hAnsi="宋体" w:eastAsia="仿宋_GB2312"/>
                <w:b/>
                <w:sz w:val="24"/>
                <w:szCs w:val="24"/>
              </w:rPr>
              <w:t>家次</w:t>
            </w:r>
            <w:r>
              <w:rPr>
                <w:rFonts w:hint="eastAsia" w:ascii="仿宋_GB2312" w:hAnsi="宋体"/>
                <w:b/>
                <w:sz w:val="24"/>
                <w:szCs w:val="24"/>
              </w:rPr>
              <w:t>︶</w:t>
            </w:r>
          </w:p>
        </w:tc>
        <w:tc>
          <w:tcPr>
            <w:tcW w:w="567"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约谈警示企业</w:t>
            </w:r>
            <w:r>
              <w:rPr>
                <w:rFonts w:hint="eastAsia" w:ascii="仿宋_GB2312" w:hAnsi="宋体"/>
                <w:b/>
                <w:sz w:val="24"/>
                <w:szCs w:val="24"/>
              </w:rPr>
              <w:t>︵</w:t>
            </w:r>
            <w:r>
              <w:rPr>
                <w:rFonts w:hint="eastAsia" w:ascii="仿宋_GB2312" w:hAnsi="宋体" w:eastAsia="仿宋_GB2312"/>
                <w:b/>
                <w:sz w:val="24"/>
                <w:szCs w:val="24"/>
              </w:rPr>
              <w:t>家次</w:t>
            </w:r>
            <w:r>
              <w:rPr>
                <w:rFonts w:hint="eastAsia" w:ascii="仿宋_GB2312" w:hAnsi="宋体"/>
                <w:b/>
                <w:sz w:val="24"/>
                <w:szCs w:val="24"/>
              </w:rPr>
              <w:t>︶</w:t>
            </w:r>
          </w:p>
        </w:tc>
        <w:tc>
          <w:tcPr>
            <w:tcW w:w="558"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激励单位</w:t>
            </w:r>
            <w:r>
              <w:rPr>
                <w:rFonts w:hint="eastAsia" w:ascii="仿宋_GB2312" w:hAnsi="宋体"/>
                <w:b/>
                <w:sz w:val="24"/>
                <w:szCs w:val="24"/>
              </w:rPr>
              <w:t>︵</w:t>
            </w:r>
            <w:r>
              <w:rPr>
                <w:rFonts w:hint="eastAsia" w:ascii="仿宋_GB2312" w:hAnsi="宋体" w:eastAsia="仿宋_GB2312"/>
                <w:b/>
                <w:sz w:val="24"/>
                <w:szCs w:val="24"/>
              </w:rPr>
              <w:t>家次</w:t>
            </w:r>
            <w:r>
              <w:rPr>
                <w:rFonts w:hint="eastAsia" w:ascii="仿宋_GB2312" w:hAnsi="宋体"/>
                <w:b/>
                <w:sz w:val="24"/>
                <w:szCs w:val="24"/>
              </w:rPr>
              <w:t>︶</w:t>
            </w:r>
          </w:p>
        </w:tc>
        <w:tc>
          <w:tcPr>
            <w:tcW w:w="559" w:type="dxa"/>
            <w:vMerge w:val="restart"/>
            <w:vAlign w:val="center"/>
          </w:tcPr>
          <w:p>
            <w:pPr>
              <w:pStyle w:val="8"/>
              <w:adjustRightInd w:val="0"/>
              <w:snapToGrid w:val="0"/>
              <w:spacing w:after="0" w:line="28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约束单位</w:t>
            </w:r>
            <w:r>
              <w:rPr>
                <w:rFonts w:hint="eastAsia" w:ascii="仿宋_GB2312" w:hAnsi="宋体"/>
                <w:b/>
                <w:sz w:val="24"/>
                <w:szCs w:val="24"/>
              </w:rPr>
              <w:t>︵</w:t>
            </w:r>
            <w:r>
              <w:rPr>
                <w:rFonts w:hint="eastAsia" w:ascii="仿宋_GB2312" w:hAnsi="宋体" w:eastAsia="仿宋_GB2312"/>
                <w:b/>
                <w:sz w:val="24"/>
                <w:szCs w:val="24"/>
              </w:rPr>
              <w:t>家次</w:t>
            </w:r>
            <w:r>
              <w:rPr>
                <w:rFonts w:hint="eastAsia" w:ascii="仿宋_GB2312" w:hAnsi="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242" w:type="dxa"/>
            <w:vMerge w:val="continue"/>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b/>
                <w:sz w:val="24"/>
                <w:szCs w:val="24"/>
              </w:rPr>
            </w:pPr>
          </w:p>
        </w:tc>
        <w:tc>
          <w:tcPr>
            <w:tcW w:w="708"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709"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709"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708"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709"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709"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709"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578"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578"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578"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b/>
                <w:sz w:val="24"/>
                <w:szCs w:val="24"/>
              </w:rPr>
            </w:pPr>
          </w:p>
        </w:tc>
        <w:tc>
          <w:tcPr>
            <w:tcW w:w="578" w:type="dxa"/>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企</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业</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数</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家</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次</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p>
            <w:pPr>
              <w:pStyle w:val="8"/>
              <w:adjustRightInd w:val="0"/>
              <w:snapToGrid w:val="0"/>
              <w:spacing w:after="0" w:line="260" w:lineRule="exact"/>
              <w:ind w:firstLine="482"/>
              <w:jc w:val="center"/>
              <w:rPr>
                <w:rFonts w:hint="eastAsia" w:ascii="仿宋_GB2312" w:hAnsi="宋体" w:eastAsia="仿宋_GB2312"/>
                <w:b/>
                <w:sz w:val="24"/>
                <w:szCs w:val="24"/>
              </w:rPr>
            </w:pPr>
            <w:r>
              <w:rPr>
                <w:rFonts w:hint="eastAsia" w:ascii="仿宋_GB2312" w:hAnsi="宋体" w:eastAsia="仿宋_GB2312"/>
                <w:b/>
                <w:sz w:val="24"/>
                <w:szCs w:val="24"/>
              </w:rPr>
              <w:t>︶</w:t>
            </w:r>
          </w:p>
        </w:tc>
        <w:tc>
          <w:tcPr>
            <w:tcW w:w="578" w:type="dxa"/>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隐</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患</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数</w:t>
            </w:r>
          </w:p>
          <w:p>
            <w:pPr>
              <w:pStyle w:val="8"/>
              <w:adjustRightInd w:val="0"/>
              <w:snapToGrid w:val="0"/>
              <w:spacing w:after="0" w:line="260" w:lineRule="exact"/>
              <w:ind w:left="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条</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tc>
        <w:tc>
          <w:tcPr>
            <w:tcW w:w="578" w:type="dxa"/>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企</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业</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数</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家</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次</w:t>
            </w:r>
          </w:p>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w:t>
            </w:r>
          </w:p>
        </w:tc>
        <w:tc>
          <w:tcPr>
            <w:tcW w:w="578" w:type="dxa"/>
            <w:vAlign w:val="center"/>
          </w:tcPr>
          <w:p>
            <w:pPr>
              <w:pStyle w:val="8"/>
              <w:adjustRightInd w:val="0"/>
              <w:snapToGrid w:val="0"/>
              <w:spacing w:after="0" w:line="260" w:lineRule="exact"/>
              <w:ind w:left="-20" w:leftChars="0" w:firstLine="0" w:firstLineChars="0"/>
              <w:jc w:val="center"/>
              <w:rPr>
                <w:rFonts w:hint="eastAsia" w:ascii="仿宋_GB2312" w:hAnsi="宋体" w:eastAsia="仿宋_GB2312"/>
                <w:b/>
                <w:sz w:val="24"/>
                <w:szCs w:val="24"/>
              </w:rPr>
            </w:pPr>
            <w:r>
              <w:rPr>
                <w:rFonts w:hint="eastAsia" w:ascii="仿宋_GB2312" w:hAnsi="宋体" w:eastAsia="仿宋_GB2312"/>
                <w:b/>
                <w:sz w:val="24"/>
                <w:szCs w:val="24"/>
              </w:rPr>
              <w:t>金额︵万元︶</w:t>
            </w:r>
          </w:p>
        </w:tc>
        <w:tc>
          <w:tcPr>
            <w:tcW w:w="490"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479"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514"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567"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581"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567"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558"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c>
          <w:tcPr>
            <w:tcW w:w="559" w:type="dxa"/>
            <w:vMerge w:val="continue"/>
            <w:vAlign w:val="center"/>
          </w:tcPr>
          <w:p>
            <w:pPr>
              <w:pStyle w:val="8"/>
              <w:adjustRightInd w:val="0"/>
              <w:snapToGrid w:val="0"/>
              <w:spacing w:after="0"/>
              <w:ind w:left="-20" w:leftChars="0" w:firstLine="0" w:firstLineChars="0"/>
              <w:jc w:val="center"/>
              <w:rPr>
                <w:rFonts w:hint="eastAsia"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1242" w:type="dxa"/>
            <w:vAlign w:val="center"/>
          </w:tcPr>
          <w:p>
            <w:pPr>
              <w:pStyle w:val="8"/>
              <w:adjustRightInd w:val="0"/>
              <w:snapToGrid w:val="0"/>
              <w:spacing w:after="0"/>
              <w:ind w:left="0" w:leftChars="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县</w:t>
            </w:r>
          </w:p>
          <w:p>
            <w:pPr>
              <w:pStyle w:val="8"/>
              <w:adjustRightInd w:val="0"/>
              <w:snapToGrid w:val="0"/>
              <w:spacing w:after="0"/>
              <w:ind w:left="0" w:leftChars="0" w:firstLine="0" w:firstLineChars="0"/>
              <w:jc w:val="center"/>
              <w:rPr>
                <w:rFonts w:hint="eastAsia" w:ascii="仿宋_GB2312" w:hAnsi="宋体" w:eastAsia="仿宋_GB2312"/>
                <w:sz w:val="24"/>
                <w:szCs w:val="24"/>
              </w:rPr>
            </w:pPr>
            <w:r>
              <w:rPr>
                <w:rFonts w:hint="eastAsia" w:ascii="仿宋_GB2312" w:hAnsi="宋体" w:eastAsia="仿宋_GB2312"/>
                <w:sz w:val="24"/>
                <w:szCs w:val="24"/>
              </w:rPr>
              <w:t>(市、区)</w:t>
            </w:r>
          </w:p>
        </w:tc>
        <w:tc>
          <w:tcPr>
            <w:tcW w:w="70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709"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709"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70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709"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709"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709"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7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7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7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7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7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7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7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490"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479"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14"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6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81"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67"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58"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c>
          <w:tcPr>
            <w:tcW w:w="559" w:type="dxa"/>
            <w:vAlign w:val="center"/>
          </w:tcPr>
          <w:p>
            <w:pPr>
              <w:pStyle w:val="8"/>
              <w:adjustRightInd w:val="0"/>
              <w:snapToGrid w:val="0"/>
              <w:spacing w:after="0" w:line="500" w:lineRule="exact"/>
              <w:ind w:left="0" w:leftChars="0" w:firstLine="0" w:firstLineChars="0"/>
              <w:jc w:val="center"/>
              <w:rPr>
                <w:rFonts w:hint="eastAsia" w:ascii="仿宋_GB2312" w:hAnsi="宋体" w:eastAsia="仿宋_GB2312"/>
                <w:sz w:val="24"/>
                <w:szCs w:val="24"/>
              </w:rPr>
            </w:pPr>
          </w:p>
        </w:tc>
      </w:tr>
    </w:tbl>
    <w:p>
      <w:pPr>
        <w:spacing w:beforeLines="50" w:line="300" w:lineRule="exact"/>
        <w:ind w:left="-424" w:leftChars="-202" w:right="-569" w:rightChars="-271" w:firstLine="480" w:firstLineChars="200"/>
        <w:jc w:val="left"/>
        <w:rPr>
          <w:rFonts w:ascii="仿宋_GB2312" w:eastAsia="仿宋_GB2312"/>
          <w:sz w:val="28"/>
          <w:szCs w:val="28"/>
        </w:rPr>
      </w:pPr>
      <w:r>
        <w:rPr>
          <w:rFonts w:ascii="仿宋_GB2312" w:hAnsi="仿宋" w:eastAsia="仿宋_GB2312"/>
          <w:b/>
          <w:sz w:val="24"/>
        </w:rPr>
        <w:t>注：</w:t>
      </w:r>
      <w:r>
        <w:rPr>
          <w:rFonts w:ascii="仿宋_GB2312" w:hAnsi="仿宋" w:eastAsia="仿宋_GB2312"/>
          <w:sz w:val="24"/>
        </w:rPr>
        <w:t>1.各填报单位按照各自所属的单位类型进行填报；2.</w:t>
      </w:r>
      <w:r>
        <w:rPr>
          <w:rFonts w:hint="eastAsia" w:ascii="仿宋_GB2312" w:hAnsi="仿宋" w:eastAsia="仿宋_GB2312"/>
          <w:sz w:val="24"/>
        </w:rPr>
        <w:t>各县填报的数据应包含本辖区所</w:t>
      </w:r>
      <w:r>
        <w:rPr>
          <w:rFonts w:hint="eastAsia" w:ascii="仿宋_GB2312" w:hAnsi="仿宋" w:eastAsia="仿宋_GB2312"/>
          <w:sz w:val="24"/>
          <w:lang w:eastAsia="zh-CN"/>
        </w:rPr>
        <w:t>有</w:t>
      </w:r>
      <w:r>
        <w:rPr>
          <w:rFonts w:hint="eastAsia" w:ascii="仿宋_GB2312" w:hAnsi="仿宋" w:eastAsia="仿宋_GB2312"/>
          <w:sz w:val="24"/>
        </w:rPr>
        <w:t>物业服务项目的数据</w:t>
      </w:r>
      <w:r>
        <w:rPr>
          <w:rFonts w:ascii="仿宋_GB2312" w:hAnsi="仿宋" w:eastAsia="仿宋_GB2312"/>
          <w:sz w:val="24"/>
        </w:rPr>
        <w:t>；</w:t>
      </w:r>
      <w:r>
        <w:rPr>
          <w:rFonts w:hint="eastAsia" w:ascii="仿宋_GB2312" w:hAnsi="仿宋" w:eastAsia="仿宋_GB2312"/>
          <w:sz w:val="24"/>
        </w:rPr>
        <w:t>3</w:t>
      </w:r>
      <w:r>
        <w:rPr>
          <w:rFonts w:ascii="仿宋_GB2312" w:hAnsi="仿宋" w:eastAsia="仿宋_GB2312"/>
          <w:sz w:val="24"/>
        </w:rPr>
        <w:t>.每月3日前上报上一个月巩固提高进展情况</w:t>
      </w:r>
      <w:r>
        <w:rPr>
          <w:rFonts w:hint="eastAsia" w:ascii="仿宋_GB2312" w:hAnsi="仿宋" w:eastAsia="仿宋_GB2312"/>
          <w:sz w:val="24"/>
        </w:rPr>
        <w:t>。</w:t>
      </w:r>
    </w:p>
    <w:p>
      <w:pPr>
        <w:rPr>
          <w:szCs w:val="32"/>
        </w:rPr>
      </w:pPr>
    </w:p>
    <w:sectPr>
      <w:pgSz w:w="16838" w:h="11906" w:orient="landscape"/>
      <w:pgMar w:top="1588" w:right="2098" w:bottom="1474" w:left="1985"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2"/>
      <w:docPartObj>
        <w:docPartGallery w:val="autotext"/>
      </w:docPartObj>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4"/>
      <w:docPartObj>
        <w:docPartGallery w:val="autotext"/>
      </w:docPartObj>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kYmIzOTQ0NGFlYmRjYTNhMTljYmIyNjQzMjcyMmEifQ=="/>
  </w:docVars>
  <w:rsids>
    <w:rsidRoot w:val="7B0035CC"/>
    <w:rsid w:val="00033D29"/>
    <w:rsid w:val="00054A54"/>
    <w:rsid w:val="00072A04"/>
    <w:rsid w:val="000C3DC7"/>
    <w:rsid w:val="000D0F79"/>
    <w:rsid w:val="001A125E"/>
    <w:rsid w:val="002000D3"/>
    <w:rsid w:val="00206E80"/>
    <w:rsid w:val="00212602"/>
    <w:rsid w:val="00244705"/>
    <w:rsid w:val="002470CD"/>
    <w:rsid w:val="002704BC"/>
    <w:rsid w:val="00296B9C"/>
    <w:rsid w:val="00320980"/>
    <w:rsid w:val="00350C6C"/>
    <w:rsid w:val="00367FE8"/>
    <w:rsid w:val="003856AA"/>
    <w:rsid w:val="0039442F"/>
    <w:rsid w:val="003C7C0A"/>
    <w:rsid w:val="003F2AFD"/>
    <w:rsid w:val="00416B75"/>
    <w:rsid w:val="00496041"/>
    <w:rsid w:val="004A7418"/>
    <w:rsid w:val="005151B0"/>
    <w:rsid w:val="00532AB8"/>
    <w:rsid w:val="00532FF3"/>
    <w:rsid w:val="0058296A"/>
    <w:rsid w:val="005E1E41"/>
    <w:rsid w:val="005E3568"/>
    <w:rsid w:val="005E5B79"/>
    <w:rsid w:val="00626346"/>
    <w:rsid w:val="00635E18"/>
    <w:rsid w:val="00642C9A"/>
    <w:rsid w:val="006502C4"/>
    <w:rsid w:val="00687F8B"/>
    <w:rsid w:val="006A26DD"/>
    <w:rsid w:val="006D0D29"/>
    <w:rsid w:val="006F3473"/>
    <w:rsid w:val="007A27D2"/>
    <w:rsid w:val="007F08AB"/>
    <w:rsid w:val="0080791B"/>
    <w:rsid w:val="00834070"/>
    <w:rsid w:val="00843DE1"/>
    <w:rsid w:val="008A316B"/>
    <w:rsid w:val="008B2494"/>
    <w:rsid w:val="008B6779"/>
    <w:rsid w:val="00934246"/>
    <w:rsid w:val="009A2871"/>
    <w:rsid w:val="009B604B"/>
    <w:rsid w:val="009E5429"/>
    <w:rsid w:val="009F0DA4"/>
    <w:rsid w:val="00A26BB0"/>
    <w:rsid w:val="00A27027"/>
    <w:rsid w:val="00A33F4D"/>
    <w:rsid w:val="00A6142F"/>
    <w:rsid w:val="00B21E9D"/>
    <w:rsid w:val="00B2308E"/>
    <w:rsid w:val="00B94544"/>
    <w:rsid w:val="00C371C1"/>
    <w:rsid w:val="00C54A15"/>
    <w:rsid w:val="00C751FC"/>
    <w:rsid w:val="00CD6E78"/>
    <w:rsid w:val="00CF7489"/>
    <w:rsid w:val="00D01693"/>
    <w:rsid w:val="00D06D37"/>
    <w:rsid w:val="00D137BB"/>
    <w:rsid w:val="00DC77FC"/>
    <w:rsid w:val="00DE7C32"/>
    <w:rsid w:val="00E14197"/>
    <w:rsid w:val="00E242A6"/>
    <w:rsid w:val="00E30DB6"/>
    <w:rsid w:val="00E33346"/>
    <w:rsid w:val="00E36306"/>
    <w:rsid w:val="00E54EC8"/>
    <w:rsid w:val="00EB001B"/>
    <w:rsid w:val="00EE0B63"/>
    <w:rsid w:val="00F12182"/>
    <w:rsid w:val="00F963B8"/>
    <w:rsid w:val="00FD1274"/>
    <w:rsid w:val="05712C98"/>
    <w:rsid w:val="108A51D0"/>
    <w:rsid w:val="112D384F"/>
    <w:rsid w:val="2DDD240C"/>
    <w:rsid w:val="3E891004"/>
    <w:rsid w:val="7B00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7"/>
    <w:qFormat/>
    <w:uiPriority w:val="0"/>
    <w:pPr>
      <w:spacing w:after="120"/>
      <w:ind w:left="420" w:leftChars="200"/>
    </w:pPr>
  </w:style>
  <w:style w:type="paragraph" w:styleId="3">
    <w:name w:val="Date"/>
    <w:basedOn w:val="1"/>
    <w:next w:val="1"/>
    <w:link w:val="14"/>
    <w:qFormat/>
    <w:uiPriority w:val="0"/>
    <w:pPr>
      <w:ind w:left="100" w:leftChars="2500"/>
    </w:pPr>
  </w:style>
  <w:style w:type="paragraph" w:styleId="4">
    <w:name w:val="Balloon Text"/>
    <w:basedOn w:val="1"/>
    <w:link w:val="16"/>
    <w:qFormat/>
    <w:uiPriority w:val="0"/>
    <w:rPr>
      <w:rFonts w:ascii="Calibri" w:hAnsi="Calibri" w:eastAsia="宋体" w:cs="Calibri"/>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2"/>
    <w:link w:val="18"/>
    <w:qFormat/>
    <w:uiPriority w:val="0"/>
    <w:pPr>
      <w:ind w:firstLine="420" w:firstLineChars="200"/>
    </w:pPr>
    <w:rPr>
      <w:rFonts w:ascii="Calibri" w:hAnsi="Calibri" w:eastAsia="宋体" w:cs="Times New Roman"/>
      <w:sz w:val="32"/>
      <w:szCs w:val="32"/>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qFormat/>
    <w:uiPriority w:val="0"/>
    <w:rPr>
      <w:kern w:val="2"/>
      <w:sz w:val="18"/>
      <w:szCs w:val="18"/>
    </w:rPr>
  </w:style>
  <w:style w:type="character" w:customStyle="1" w:styleId="13">
    <w:name w:val="页脚 Char"/>
    <w:basedOn w:val="11"/>
    <w:link w:val="5"/>
    <w:qFormat/>
    <w:uiPriority w:val="99"/>
    <w:rPr>
      <w:kern w:val="2"/>
      <w:sz w:val="18"/>
      <w:szCs w:val="18"/>
    </w:rPr>
  </w:style>
  <w:style w:type="character" w:customStyle="1" w:styleId="14">
    <w:name w:val="日期 Char"/>
    <w:basedOn w:val="11"/>
    <w:link w:val="3"/>
    <w:qFormat/>
    <w:uiPriority w:val="0"/>
    <w:rPr>
      <w:kern w:val="2"/>
      <w:sz w:val="21"/>
      <w:szCs w:val="24"/>
    </w:rPr>
  </w:style>
  <w:style w:type="paragraph" w:customStyle="1" w:styleId="15">
    <w:name w:val="Char1"/>
    <w:basedOn w:val="1"/>
    <w:qFormat/>
    <w:uiPriority w:val="0"/>
    <w:pPr>
      <w:ind w:firstLine="140"/>
    </w:pPr>
    <w:rPr>
      <w:rFonts w:ascii="Times New Roman" w:hAnsi="Times New Roman" w:eastAsia="宋体" w:cs="Times New Roman"/>
      <w:szCs w:val="21"/>
    </w:rPr>
  </w:style>
  <w:style w:type="character" w:customStyle="1" w:styleId="16">
    <w:name w:val="批注框文本 Char"/>
    <w:basedOn w:val="11"/>
    <w:link w:val="4"/>
    <w:qFormat/>
    <w:uiPriority w:val="0"/>
    <w:rPr>
      <w:rFonts w:ascii="Calibri" w:hAnsi="Calibri" w:eastAsia="宋体" w:cs="Calibri"/>
      <w:kern w:val="2"/>
      <w:sz w:val="18"/>
      <w:szCs w:val="18"/>
    </w:rPr>
  </w:style>
  <w:style w:type="character" w:customStyle="1" w:styleId="17">
    <w:name w:val="正文文本缩进 Char"/>
    <w:basedOn w:val="11"/>
    <w:link w:val="2"/>
    <w:qFormat/>
    <w:uiPriority w:val="0"/>
    <w:rPr>
      <w:kern w:val="2"/>
      <w:sz w:val="21"/>
      <w:szCs w:val="24"/>
    </w:rPr>
  </w:style>
  <w:style w:type="character" w:customStyle="1" w:styleId="18">
    <w:name w:val="正文首行缩进 2 Char"/>
    <w:basedOn w:val="17"/>
    <w:link w:val="8"/>
    <w:qFormat/>
    <w:uiPriority w:val="0"/>
    <w:rPr>
      <w:rFonts w:ascii="Calibri" w:hAnsi="Calibri" w:eastAsia="宋体" w:cs="Times New Roman"/>
      <w:sz w:val="32"/>
      <w:szCs w:val="32"/>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省住房和城乡建设厅</Company>
  <Pages>18</Pages>
  <Words>8017</Words>
  <Characters>8217</Characters>
  <Lines>10</Lines>
  <Paragraphs>18</Paragraphs>
  <TotalTime>2</TotalTime>
  <ScaleCrop>false</ScaleCrop>
  <LinksUpToDate>false</LinksUpToDate>
  <CharactersWithSpaces>8640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2023-03-10T03:57:00Z</dcterms:created>
  <dc:creator>Administrator</dc:creator>
  <cp:lastModifiedBy>不语</cp:lastModifiedBy>
  <cp:lastPrinted>2023-03-10T03:53:00Z</cp:lastPrinted>
  <dcterms:modified xsi:type="dcterms:W3CDTF">2023-03-10T08:21:38Z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AF919E749BBF4BD887BDC6EB85CADF4F</vt:lpwstr>
  </property>
</Properties>
</file>