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Lines="50"/>
      </w:pPr>
    </w:p>
    <w:p>
      <w:pPr>
        <w:spacing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w:t>
      </w:r>
      <w:r>
        <w:rPr>
          <w:rFonts w:hint="eastAsia" w:ascii="仿宋_GB2312" w:hAnsi="新宋体" w:eastAsia="仿宋_GB2312"/>
          <w:sz w:val="32"/>
          <w:szCs w:val="32"/>
          <w:lang w:val="en-US" w:eastAsia="zh-CN"/>
        </w:rPr>
        <w:t>75</w:t>
      </w:r>
      <w:r>
        <w:rPr>
          <w:rFonts w:hint="eastAsia" w:ascii="仿宋_GB2312" w:hAnsi="宋体" w:eastAsia="仿宋_GB2312"/>
          <w:sz w:val="32"/>
          <w:szCs w:val="32"/>
        </w:rPr>
        <w:t>号</w:t>
      </w:r>
    </w:p>
    <w:p>
      <w:pPr>
        <w:spacing w:afterLines="150" w:line="240" w:lineRule="exact"/>
        <w:rPr>
          <w:rFonts w:ascii="宋体" w:hAnsi="宋体"/>
          <w:bCs/>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安溪县住房和城乡建设局关于安溪县202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年重点对象危房改造对象再次复审公示</w:t>
      </w:r>
    </w:p>
    <w:p>
      <w:pPr>
        <w:spacing w:beforeLines="150" w:line="560" w:lineRule="exact"/>
        <w:ind w:firstLine="640" w:firstLineChars="200"/>
        <w:rPr>
          <w:rFonts w:ascii="仿宋_GB2312" w:eastAsia="仿宋_GB2312"/>
          <w:sz w:val="32"/>
          <w:szCs w:val="32"/>
        </w:rPr>
      </w:pPr>
      <w:r>
        <w:rPr>
          <w:rFonts w:hint="eastAsia" w:ascii="仿宋_GB2312" w:eastAsia="仿宋_GB2312"/>
          <w:sz w:val="32"/>
          <w:szCs w:val="32"/>
        </w:rPr>
        <w:t>为进一步做好20</w:t>
      </w:r>
      <w:r>
        <w:rPr>
          <w:rFonts w:hint="eastAsia" w:ascii="仿宋_GB2312" w:eastAsia="仿宋_GB2312"/>
          <w:sz w:val="32"/>
          <w:szCs w:val="32"/>
          <w:lang w:val="en-US" w:eastAsia="zh-CN"/>
        </w:rPr>
        <w:t>25</w:t>
      </w:r>
      <w:r>
        <w:rPr>
          <w:rFonts w:hint="eastAsia" w:ascii="仿宋_GB2312" w:eastAsia="仿宋_GB2312"/>
          <w:sz w:val="32"/>
          <w:szCs w:val="32"/>
        </w:rPr>
        <w:t>年重点对象的危房改造工作，根据《住房城乡建设部 财政部国务院扶贫办关于加强和完善建档立卡贫困户等重点对象农村危房改造若干问题的通知》等文件</w:t>
      </w:r>
      <w:r>
        <w:rPr>
          <w:rFonts w:ascii="仿宋_GB2312" w:eastAsia="仿宋_GB2312"/>
          <w:sz w:val="32"/>
          <w:szCs w:val="32"/>
        </w:rPr>
        <w:t>要求</w:t>
      </w:r>
      <w:r>
        <w:rPr>
          <w:rFonts w:hint="eastAsia" w:ascii="仿宋_GB2312" w:eastAsia="仿宋_GB2312"/>
          <w:sz w:val="32"/>
          <w:szCs w:val="32"/>
        </w:rPr>
        <w:t>，经村干部入户调查和乡镇政府审核，县民政局、县乡村振兴局、财政局、资源局、市监局、交警大队及住建局复核，已形成安溪县202</w:t>
      </w:r>
      <w:r>
        <w:rPr>
          <w:rFonts w:hint="eastAsia" w:ascii="仿宋_GB2312" w:eastAsia="仿宋_GB2312"/>
          <w:sz w:val="32"/>
          <w:szCs w:val="32"/>
          <w:lang w:val="en-US" w:eastAsia="zh-CN"/>
        </w:rPr>
        <w:t>5</w:t>
      </w:r>
      <w:r>
        <w:rPr>
          <w:rFonts w:hint="eastAsia" w:ascii="仿宋_GB2312" w:eastAsia="仿宋_GB2312"/>
          <w:sz w:val="32"/>
          <w:szCs w:val="32"/>
        </w:rPr>
        <w:t>年农村危房改造对象名单（详见附件</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rPr>
        <w:t>），现予以公示。</w:t>
      </w:r>
      <w:r>
        <w:rPr>
          <w:rFonts w:hint="eastAsia" w:ascii="仿宋_GB2312" w:hAnsi="仿宋" w:eastAsia="仿宋_GB2312"/>
          <w:kern w:val="0"/>
          <w:sz w:val="32"/>
          <w:szCs w:val="32"/>
        </w:rPr>
        <w:t>因湖头镇湖一村李炳坤</w:t>
      </w:r>
      <w:r>
        <w:rPr>
          <w:rFonts w:hint="eastAsia" w:ascii="仿宋_GB2312" w:hAnsi="仿宋" w:eastAsia="仿宋_GB2312"/>
          <w:kern w:val="0"/>
          <w:sz w:val="32"/>
          <w:szCs w:val="32"/>
          <w:lang w:eastAsia="zh-CN"/>
        </w:rPr>
        <w:t>、芦田镇</w:t>
      </w:r>
      <w:r>
        <w:rPr>
          <w:rFonts w:hint="eastAsia" w:ascii="仿宋_GB2312" w:hAnsi="仿宋" w:eastAsia="仿宋_GB2312"/>
          <w:kern w:val="0"/>
          <w:sz w:val="32"/>
          <w:szCs w:val="32"/>
          <w:lang w:eastAsia="zh-CN"/>
        </w:rPr>
        <w:tab/>
      </w:r>
      <w:r>
        <w:rPr>
          <w:rFonts w:hint="eastAsia" w:ascii="仿宋_GB2312" w:hAnsi="仿宋" w:eastAsia="仿宋_GB2312"/>
          <w:kern w:val="0"/>
          <w:sz w:val="32"/>
          <w:szCs w:val="32"/>
          <w:lang w:eastAsia="zh-CN"/>
        </w:rPr>
        <w:t>朝阳村杨清水</w:t>
      </w:r>
      <w:r>
        <w:rPr>
          <w:rFonts w:hint="eastAsia" w:ascii="仿宋_GB2312" w:hAnsi="仿宋" w:eastAsia="仿宋_GB2312"/>
          <w:kern w:val="0"/>
          <w:sz w:val="32"/>
          <w:szCs w:val="32"/>
        </w:rPr>
        <w:t>通过其他方式解决个人住房安全问题，自愿放弃危房改造名额，为避免危房改造指标空缺，经各有关乡镇摸排及各相关单位再次复核，拟新增</w:t>
      </w:r>
      <w:r>
        <w:rPr>
          <w:rFonts w:hint="eastAsia" w:ascii="仿宋_GB2312" w:hAnsi="仿宋" w:eastAsia="仿宋_GB2312"/>
          <w:kern w:val="0"/>
          <w:sz w:val="32"/>
          <w:szCs w:val="32"/>
          <w:lang w:eastAsia="zh-CN"/>
        </w:rPr>
        <w:t>湖头镇美坂村陈瑞金、西坪镇西坪村林志份</w:t>
      </w:r>
      <w:r>
        <w:rPr>
          <w:rFonts w:hint="eastAsia" w:ascii="仿宋_GB2312" w:hAnsi="仿宋" w:eastAsia="仿宋_GB2312"/>
          <w:kern w:val="0"/>
          <w:sz w:val="32"/>
          <w:szCs w:val="32"/>
        </w:rPr>
        <w:t>为危改对象（详见附件2），现予以公示。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公示期限内，利害关系人可以书面等法定形式向我局陈述、申辩等主张或提出听证申请；逾期未提出的，视为放弃权利，以上事项我局将予以核准办理。您可以在公示期间通过以下联系方式发表您的意见和看法。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月1</w:t>
      </w:r>
      <w:r>
        <w:rPr>
          <w:rFonts w:hint="eastAsia" w:ascii="仿宋_GB2312" w:eastAsia="仿宋_GB2312"/>
          <w:sz w:val="32"/>
          <w:szCs w:val="32"/>
          <w:lang w:val="en-US" w:eastAsia="zh-CN"/>
        </w:rPr>
        <w:t>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月2</w:t>
      </w:r>
      <w:r>
        <w:rPr>
          <w:rFonts w:hint="eastAsia" w:ascii="仿宋_GB2312" w:eastAsia="仿宋_GB2312"/>
          <w:sz w:val="32"/>
          <w:szCs w:val="32"/>
          <w:lang w:val="en-US" w:eastAsia="zh-CN"/>
        </w:rPr>
        <w:t>3</w:t>
      </w:r>
      <w:r>
        <w:rPr>
          <w:rFonts w:hint="eastAsia" w:ascii="仿宋_GB2312" w:eastAsia="仿宋_GB2312"/>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网上公示网址：http://www.fjax.gov.cn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 系 人：周亮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联系电话：0595-23000390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联系邮箱：axxyjb504@163.com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安溪县住房和城乡建设局办公地点：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安溪县金融行政服务中心1#楼5</w:t>
      </w:r>
      <w:r>
        <w:rPr>
          <w:rFonts w:hint="eastAsia" w:ascii="仿宋_GB2312" w:eastAsia="仿宋_GB2312"/>
          <w:sz w:val="32"/>
          <w:szCs w:val="32"/>
          <w:lang w:val="en-US" w:eastAsia="zh-CN"/>
        </w:rPr>
        <w:t>2</w:t>
      </w:r>
      <w:r>
        <w:rPr>
          <w:rFonts w:hint="eastAsia" w:ascii="仿宋_GB2312" w:eastAsia="仿宋_GB2312"/>
          <w:sz w:val="32"/>
          <w:szCs w:val="32"/>
        </w:rPr>
        <w:t>3，邮编：362400</w:t>
      </w:r>
    </w:p>
    <w:p>
      <w:pPr>
        <w:spacing w:line="560" w:lineRule="exact"/>
        <w:ind w:firstLine="640" w:firstLineChars="200"/>
        <w:rPr>
          <w:rFonts w:ascii="仿宋_GB2312" w:eastAsia="仿宋_GB2312"/>
          <w:sz w:val="32"/>
          <w:szCs w:val="32"/>
        </w:rPr>
      </w:pPr>
    </w:p>
    <w:p>
      <w:pPr>
        <w:widowControl/>
        <w:spacing w:line="560" w:lineRule="exact"/>
        <w:ind w:firstLine="640"/>
        <w:rPr>
          <w:rFonts w:ascii="仿宋_GB2312" w:eastAsia="仿宋_GB2312"/>
          <w:sz w:val="32"/>
          <w:szCs w:val="32"/>
        </w:rPr>
      </w:pPr>
      <w:r>
        <w:rPr>
          <w:rFonts w:hint="eastAsia" w:ascii="仿宋_GB2312" w:eastAsia="仿宋_GB2312"/>
          <w:sz w:val="32"/>
          <w:szCs w:val="32"/>
        </w:rPr>
        <w:t>附件：1.安溪县202</w:t>
      </w:r>
      <w:r>
        <w:rPr>
          <w:rFonts w:hint="eastAsia" w:ascii="仿宋_GB2312" w:eastAsia="仿宋_GB2312"/>
          <w:sz w:val="32"/>
          <w:szCs w:val="32"/>
          <w:lang w:val="en-US" w:eastAsia="zh-CN"/>
        </w:rPr>
        <w:t>5</w:t>
      </w:r>
      <w:r>
        <w:rPr>
          <w:rFonts w:hint="eastAsia" w:ascii="仿宋_GB2312" w:eastAsia="仿宋_GB2312"/>
          <w:sz w:val="32"/>
          <w:szCs w:val="32"/>
        </w:rPr>
        <w:t>年农村危房改造名单（替补前）</w:t>
      </w:r>
    </w:p>
    <w:p>
      <w:pPr>
        <w:widowControl/>
        <w:spacing w:line="560" w:lineRule="exact"/>
        <w:ind w:left="1600"/>
        <w:rPr>
          <w:rFonts w:ascii="仿宋_GB2312" w:eastAsia="仿宋_GB2312"/>
          <w:sz w:val="32"/>
          <w:szCs w:val="32"/>
        </w:rPr>
      </w:pPr>
      <w:r>
        <w:rPr>
          <w:rFonts w:hint="eastAsia" w:ascii="仿宋_GB2312" w:eastAsia="仿宋_GB2312"/>
          <w:sz w:val="32"/>
          <w:szCs w:val="32"/>
        </w:rPr>
        <w:t>2.安溪县202</w:t>
      </w:r>
      <w:r>
        <w:rPr>
          <w:rFonts w:hint="eastAsia" w:ascii="仿宋_GB2312" w:eastAsia="仿宋_GB2312"/>
          <w:sz w:val="32"/>
          <w:szCs w:val="32"/>
          <w:lang w:val="en-US" w:eastAsia="zh-CN"/>
        </w:rPr>
        <w:t>5</w:t>
      </w:r>
      <w:r>
        <w:rPr>
          <w:rFonts w:hint="eastAsia" w:ascii="仿宋_GB2312" w:eastAsia="仿宋_GB2312"/>
          <w:sz w:val="32"/>
          <w:szCs w:val="32"/>
        </w:rPr>
        <w:t>年农村危房改造名单（替补后）</w:t>
      </w:r>
    </w:p>
    <w:p>
      <w:pPr>
        <w:widowControl/>
        <w:spacing w:line="560" w:lineRule="exact"/>
        <w:ind w:left="1600"/>
        <w:rPr>
          <w:rFonts w:hint="eastAsia" w:ascii="仿宋_GB2312" w:eastAsia="仿宋_GB2312"/>
          <w:sz w:val="32"/>
          <w:szCs w:val="32"/>
        </w:rPr>
      </w:pPr>
    </w:p>
    <w:p>
      <w:pPr>
        <w:widowControl/>
        <w:spacing w:line="560" w:lineRule="exact"/>
        <w:ind w:left="1600"/>
        <w:rPr>
          <w:rFonts w:ascii="仿宋_GB2312" w:eastAsia="仿宋_GB2312"/>
          <w:sz w:val="32"/>
          <w:szCs w:val="32"/>
        </w:rPr>
      </w:pPr>
    </w:p>
    <w:p>
      <w:pPr>
        <w:spacing w:line="560" w:lineRule="exact"/>
        <w:ind w:firstLine="3344" w:firstLineChars="1045"/>
        <w:jc w:val="center"/>
        <w:rPr>
          <w:rFonts w:ascii="仿宋_GB2312" w:eastAsia="仿宋_GB2312"/>
          <w:sz w:val="32"/>
          <w:szCs w:val="32"/>
        </w:rPr>
      </w:pPr>
      <w:r>
        <w:rPr>
          <w:rFonts w:hint="eastAsia" w:ascii="仿宋_GB2312" w:eastAsia="仿宋_GB2312"/>
          <w:sz w:val="32"/>
          <w:szCs w:val="32"/>
        </w:rPr>
        <w:t xml:space="preserve">   安溪县住房和城乡建设局</w:t>
      </w:r>
    </w:p>
    <w:p>
      <w:pPr>
        <w:spacing w:line="560" w:lineRule="exact"/>
        <w:ind w:firstLine="3344" w:firstLineChars="1045"/>
        <w:jc w:val="center"/>
        <w:rPr>
          <w:rFonts w:ascii="仿宋_GB2312" w:eastAsia="仿宋_GB2312"/>
          <w:sz w:val="32"/>
          <w:szCs w:val="32"/>
        </w:rPr>
      </w:pPr>
      <w:r>
        <w:rPr>
          <w:rFonts w:hint="eastAsia" w:ascii="仿宋_GB2312" w:eastAsia="仿宋_GB2312"/>
          <w:color w:val="000000" w:themeColor="text1"/>
          <w:sz w:val="32"/>
          <w:szCs w:val="32"/>
        </w:rPr>
        <w:t xml:space="preserve">    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月1</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日</w:t>
      </w:r>
    </w:p>
    <w:p>
      <w:pPr>
        <w:spacing w:line="560" w:lineRule="exact"/>
        <w:ind w:firstLine="3344" w:firstLineChars="1045"/>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（此件主动公开）</w:t>
      </w:r>
    </w:p>
    <w:p>
      <w:pPr>
        <w:spacing w:line="560" w:lineRule="exact"/>
        <w:rPr>
          <w:rFonts w:ascii="仿宋_GB2312" w:eastAsia="仿宋_GB2312"/>
          <w:sz w:val="32"/>
          <w:szCs w:val="32"/>
        </w:rPr>
      </w:pPr>
    </w:p>
    <w:p>
      <w:pPr>
        <w:suppressLineNumbers/>
        <w:rPr>
          <w:rFonts w:ascii="黑体" w:hAnsi="黑体" w:eastAsia="黑体" w:cs="Times New Roman"/>
          <w:color w:val="auto"/>
          <w:sz w:val="32"/>
          <w:szCs w:val="32"/>
        </w:rPr>
      </w:pPr>
      <w:r>
        <w:rPr>
          <w:rFonts w:ascii="黑体" w:hAnsi="黑体" w:eastAsia="黑体" w:cs="Times New Roman"/>
          <w:sz w:val="32"/>
          <w:szCs w:val="32"/>
        </w:rPr>
        <w:t>附</w:t>
      </w:r>
      <w:r>
        <w:rPr>
          <w:rFonts w:ascii="黑体" w:hAnsi="黑体" w:eastAsia="黑体" w:cs="Times New Roman"/>
          <w:color w:val="auto"/>
          <w:sz w:val="32"/>
          <w:szCs w:val="32"/>
        </w:rPr>
        <w:t>件</w:t>
      </w:r>
      <w:r>
        <w:rPr>
          <w:rFonts w:hint="eastAsia" w:ascii="黑体" w:hAnsi="黑体" w:eastAsia="黑体" w:cs="Times New Roman"/>
          <w:color w:val="auto"/>
          <w:sz w:val="32"/>
          <w:szCs w:val="32"/>
        </w:rPr>
        <w:t>1</w:t>
      </w:r>
    </w:p>
    <w:p>
      <w:pPr>
        <w:suppressLineNumbers/>
        <w:spacing w:beforeLines="100" w:afterLines="150"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安溪县202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年农村危房改造名单（替补前）</w:t>
      </w:r>
    </w:p>
    <w:tbl>
      <w:tblPr>
        <w:tblStyle w:val="7"/>
        <w:tblW w:w="8849" w:type="dxa"/>
        <w:tblInd w:w="93" w:type="dxa"/>
        <w:tblLayout w:type="autofit"/>
        <w:tblCellMar>
          <w:top w:w="0" w:type="dxa"/>
          <w:left w:w="108" w:type="dxa"/>
          <w:bottom w:w="0" w:type="dxa"/>
          <w:right w:w="108" w:type="dxa"/>
        </w:tblCellMar>
      </w:tblPr>
      <w:tblGrid>
        <w:gridCol w:w="441"/>
        <w:gridCol w:w="992"/>
        <w:gridCol w:w="922"/>
        <w:gridCol w:w="1062"/>
        <w:gridCol w:w="1276"/>
        <w:gridCol w:w="709"/>
        <w:gridCol w:w="1179"/>
        <w:gridCol w:w="1134"/>
        <w:gridCol w:w="1134"/>
      </w:tblGrid>
      <w:tr>
        <w:tblPrEx>
          <w:tblCellMar>
            <w:top w:w="0" w:type="dxa"/>
            <w:left w:w="108" w:type="dxa"/>
            <w:bottom w:w="0" w:type="dxa"/>
            <w:right w:w="108" w:type="dxa"/>
          </w:tblCellMar>
        </w:tblPrEx>
        <w:trPr>
          <w:trHeight w:val="786"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街道（镇）</w:t>
            </w:r>
          </w:p>
        </w:tc>
        <w:tc>
          <w:tcPr>
            <w:tcW w:w="92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社区（村）</w:t>
            </w:r>
          </w:p>
        </w:tc>
        <w:tc>
          <w:tcPr>
            <w:tcW w:w="10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户主</w:t>
            </w:r>
          </w:p>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姓名</w:t>
            </w:r>
          </w:p>
        </w:tc>
        <w:tc>
          <w:tcPr>
            <w:tcW w:w="127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保障家庭</w:t>
            </w:r>
          </w:p>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类型</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家庭成员数量</w:t>
            </w:r>
          </w:p>
        </w:tc>
        <w:tc>
          <w:tcPr>
            <w:tcW w:w="117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家庭成员是否有少数民族</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家庭成员是否有退役军人</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家庭成员是否有残疾人</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大演村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李连鸿</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洋内村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陈桂宽</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湖一村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李炳坤</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湖二村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柯爱琴</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国定脱贫户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2</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东埔村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李彩霞</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溪美村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苏大目</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高山村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钱水来</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三村村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柯振良</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田中村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刘中德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农村分散供养特困人员</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祥华乡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和春村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上官团员</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西坪镇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宝山村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肖金和</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陈美真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黄瑞法</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黄慰问</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福林村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吴炳辉</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芦田镇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朝阳村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杨清水</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10</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是</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新岭村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陈文鹤</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7</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钱塘村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王炳文</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玳堤村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李挑花</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赤片村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杨生木</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内灶村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陈天真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虎邱镇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林东村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高炳地</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龙门村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林敬立</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白忠荣</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白剑海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是</w:t>
            </w:r>
          </w:p>
        </w:tc>
      </w:tr>
    </w:tbl>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p>
    <w:p>
      <w:pPr>
        <w:suppressLineNumbers/>
        <w:rPr>
          <w:rFonts w:ascii="黑体" w:hAnsi="黑体" w:eastAsia="黑体" w:cs="Times New Roman"/>
          <w:color w:val="auto"/>
          <w:sz w:val="32"/>
          <w:szCs w:val="32"/>
        </w:rPr>
      </w:pPr>
      <w:r>
        <w:rPr>
          <w:rFonts w:ascii="黑体" w:hAnsi="黑体" w:eastAsia="黑体" w:cs="Times New Roman"/>
          <w:color w:val="auto"/>
          <w:sz w:val="32"/>
          <w:szCs w:val="32"/>
        </w:rPr>
        <w:t>附件</w:t>
      </w:r>
      <w:r>
        <w:rPr>
          <w:rFonts w:hint="eastAsia" w:ascii="黑体" w:hAnsi="黑体" w:eastAsia="黑体" w:cs="Times New Roman"/>
          <w:color w:val="auto"/>
          <w:sz w:val="32"/>
          <w:szCs w:val="32"/>
        </w:rPr>
        <w:t>2</w:t>
      </w:r>
    </w:p>
    <w:p>
      <w:pPr>
        <w:suppressLineNumbers/>
        <w:spacing w:beforeLines="50" w:afterLines="100"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安溪县202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年农村危房改造名单（替补后）</w:t>
      </w:r>
    </w:p>
    <w:tbl>
      <w:tblPr>
        <w:tblStyle w:val="7"/>
        <w:tblW w:w="8849" w:type="dxa"/>
        <w:tblInd w:w="93" w:type="dxa"/>
        <w:tblLayout w:type="autofit"/>
        <w:tblCellMar>
          <w:top w:w="0" w:type="dxa"/>
          <w:left w:w="108" w:type="dxa"/>
          <w:bottom w:w="0" w:type="dxa"/>
          <w:right w:w="108" w:type="dxa"/>
        </w:tblCellMar>
      </w:tblPr>
      <w:tblGrid>
        <w:gridCol w:w="441"/>
        <w:gridCol w:w="992"/>
        <w:gridCol w:w="922"/>
        <w:gridCol w:w="1062"/>
        <w:gridCol w:w="1276"/>
        <w:gridCol w:w="709"/>
        <w:gridCol w:w="1179"/>
        <w:gridCol w:w="1134"/>
        <w:gridCol w:w="1134"/>
      </w:tblGrid>
      <w:tr>
        <w:tblPrEx>
          <w:tblCellMar>
            <w:top w:w="0" w:type="dxa"/>
            <w:left w:w="108" w:type="dxa"/>
            <w:bottom w:w="0" w:type="dxa"/>
            <w:right w:w="108" w:type="dxa"/>
          </w:tblCellMar>
        </w:tblPrEx>
        <w:trPr>
          <w:trHeight w:val="786"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街道（镇）</w:t>
            </w:r>
          </w:p>
        </w:tc>
        <w:tc>
          <w:tcPr>
            <w:tcW w:w="92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社区（村）</w:t>
            </w:r>
          </w:p>
        </w:tc>
        <w:tc>
          <w:tcPr>
            <w:tcW w:w="10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户主</w:t>
            </w:r>
          </w:p>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姓名</w:t>
            </w:r>
          </w:p>
        </w:tc>
        <w:tc>
          <w:tcPr>
            <w:tcW w:w="127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保障家庭</w:t>
            </w:r>
          </w:p>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类型</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家庭成员数量</w:t>
            </w:r>
          </w:p>
        </w:tc>
        <w:tc>
          <w:tcPr>
            <w:tcW w:w="117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家庭成员是否有少数民族</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家庭成员是否有退役军人</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家庭成员是否有残疾人</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大演村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李连鸿</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洋内村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陈桂宽</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美坂村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陈瑞金</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湖二村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柯爱琴</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lang w:eastAsia="zh-CN"/>
              </w:rPr>
            </w:pPr>
            <w:r>
              <w:rPr>
                <w:rFonts w:hint="eastAsia" w:ascii="仿宋_GB2312" w:hAnsi="宋体" w:eastAsia="仿宋_GB2312" w:cs="仿宋_GB2312"/>
                <w:i w:val="0"/>
                <w:iCs w:val="0"/>
                <w:color w:val="auto"/>
                <w:kern w:val="0"/>
                <w:sz w:val="20"/>
                <w:szCs w:val="20"/>
                <w:u w:val="none"/>
                <w:lang w:val="en-US" w:eastAsia="zh-CN" w:bidi="ar"/>
              </w:rPr>
              <w:t>国定脱贫户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2</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东埔村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李彩霞</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溪美村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苏大目</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高山村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钱水来</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三村村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柯振良</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田中村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刘中德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农村分散供养特困人员</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祥华乡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和春村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上官团员</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西坪镇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宝山村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肖金和</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西坪镇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西坪村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林志份</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陈美真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黄瑞法</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黄慰问</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福林村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吴炳辉</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新岭村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陈文鹤</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7</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钱塘村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王炳文</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玳堤村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李挑花</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赤片村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杨生木</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内灶村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陈天真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虎邱镇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林东村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高炳地</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龙门村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林敬立</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白忠荣</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白剑海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是</w:t>
            </w:r>
          </w:p>
        </w:tc>
      </w:tr>
    </w:tbl>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color w:val="auto"/>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beforeLines="50" w:line="400" w:lineRule="exact"/>
        <w:ind w:right="57"/>
        <w:rPr>
          <w:rFonts w:hint="eastAsia" w:ascii="仿宋_GB2312" w:hAnsi="仿宋" w:eastAsia="仿宋_GB2312" w:cs="仿宋"/>
          <w:sz w:val="28"/>
          <w:szCs w:val="28"/>
        </w:rPr>
      </w:pPr>
    </w:p>
    <w:p>
      <w:pPr>
        <w:spacing w:line="640" w:lineRule="exact"/>
        <w:ind w:right="57" w:firstLine="280" w:firstLineChars="100"/>
        <w:rPr>
          <w:rFonts w:ascii="仿宋_GB2312" w:eastAsia="仿宋_GB2312"/>
          <w:sz w:val="28"/>
          <w:szCs w:val="28"/>
        </w:rPr>
      </w:pPr>
      <w:r>
        <w:rPr>
          <w:rFonts w:ascii="仿宋_GB2312" w:eastAsia="仿宋_GB2312"/>
          <w:sz w:val="28"/>
          <w:szCs w:val="28"/>
        </w:rPr>
        <w:pict>
          <v:line id="直线 11" o:spid="_x0000_s2051" o:spt="20" style="position:absolute;left:0pt;margin-left:0pt;margin-top:6pt;height:0pt;width:450pt;z-index:251660288;mso-width-relative:page;mso-height-relative:page;" coordsize="21600,21600">
            <v:path arrowok="t"/>
            <v:fill focussize="0,0"/>
            <v:stroke/>
            <v:imagedata o:title=""/>
            <o:lock v:ext="edit"/>
          </v:line>
        </w:pict>
      </w:r>
      <w:r>
        <w:rPr>
          <w:rFonts w:ascii="仿宋_GB2312" w:eastAsia="仿宋_GB2312"/>
          <w:sz w:val="28"/>
          <w:szCs w:val="28"/>
        </w:rPr>
        <w:pict>
          <v:line id="直线 10" o:spid="_x0000_s2050" o:spt="20" style="position:absolute;left:0pt;margin-left:0pt;margin-top:36.85pt;height:0pt;width:450pt;z-index:251659264;mso-width-relative:page;mso-height-relative:page;" coordsize="21600,21600">
            <v:path arrowok="t"/>
            <v:fill focussize="0,0"/>
            <v:stroke/>
            <v:imagedata o:title=""/>
            <o:lock v:ext="edit"/>
          </v:line>
        </w:pict>
      </w:r>
      <w:r>
        <w:rPr>
          <w:rFonts w:hint="eastAsia" w:ascii="仿宋_GB2312" w:hAnsi="仿宋" w:eastAsia="仿宋_GB2312" w:cs="仿宋"/>
          <w:sz w:val="28"/>
          <w:szCs w:val="28"/>
        </w:rPr>
        <w:t>安溪县住房和城乡建设局办公室              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月1</w:t>
      </w:r>
      <w:r>
        <w:rPr>
          <w:rFonts w:hint="eastAsia" w:ascii="仿宋_GB2312" w:hAnsi="仿宋" w:eastAsia="仿宋_GB2312" w:cs="仿宋"/>
          <w:sz w:val="28"/>
          <w:szCs w:val="28"/>
          <w:lang w:val="en-US" w:eastAsia="zh-CN"/>
        </w:rPr>
        <w:t>7</w:t>
      </w:r>
      <w:r>
        <w:rPr>
          <w:rFonts w:hint="eastAsia" w:ascii="仿宋_GB2312" w:hAnsi="仿宋" w:eastAsia="仿宋_GB2312" w:cs="仿宋"/>
          <w:sz w:val="28"/>
          <w:szCs w:val="28"/>
        </w:rPr>
        <w:t>日印发</w:t>
      </w:r>
    </w:p>
    <w:sectPr>
      <w:footerReference r:id="rId3" w:type="default"/>
      <w:footerReference r:id="rId4" w:type="even"/>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6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大隶书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0OGM4NGI3NDliMmQwODg5MjRjZjRhMWVkMTU0ZWIifQ=="/>
  </w:docVars>
  <w:rsids>
    <w:rsidRoot w:val="7B0035CC"/>
    <w:rsid w:val="00033D29"/>
    <w:rsid w:val="000507F4"/>
    <w:rsid w:val="00051718"/>
    <w:rsid w:val="00054A54"/>
    <w:rsid w:val="00072A04"/>
    <w:rsid w:val="002000D3"/>
    <w:rsid w:val="00206E80"/>
    <w:rsid w:val="00212602"/>
    <w:rsid w:val="00244705"/>
    <w:rsid w:val="002470CD"/>
    <w:rsid w:val="00296B9C"/>
    <w:rsid w:val="00320980"/>
    <w:rsid w:val="00367FE8"/>
    <w:rsid w:val="0039442F"/>
    <w:rsid w:val="00416B75"/>
    <w:rsid w:val="00496041"/>
    <w:rsid w:val="004A7418"/>
    <w:rsid w:val="00532AB8"/>
    <w:rsid w:val="005420A9"/>
    <w:rsid w:val="005924FB"/>
    <w:rsid w:val="005E1E41"/>
    <w:rsid w:val="005E3568"/>
    <w:rsid w:val="00613038"/>
    <w:rsid w:val="00635E18"/>
    <w:rsid w:val="006502C4"/>
    <w:rsid w:val="00683E68"/>
    <w:rsid w:val="006A26DD"/>
    <w:rsid w:val="006D0D29"/>
    <w:rsid w:val="006E2668"/>
    <w:rsid w:val="006F081F"/>
    <w:rsid w:val="00756BB1"/>
    <w:rsid w:val="0076105F"/>
    <w:rsid w:val="007A27D2"/>
    <w:rsid w:val="00843DE1"/>
    <w:rsid w:val="00886FEE"/>
    <w:rsid w:val="008B2494"/>
    <w:rsid w:val="008B6779"/>
    <w:rsid w:val="00934246"/>
    <w:rsid w:val="00A26BB0"/>
    <w:rsid w:val="00A33F4D"/>
    <w:rsid w:val="00A42CD9"/>
    <w:rsid w:val="00A6142F"/>
    <w:rsid w:val="00B47AAF"/>
    <w:rsid w:val="00B858E7"/>
    <w:rsid w:val="00B94544"/>
    <w:rsid w:val="00BC400B"/>
    <w:rsid w:val="00C371C1"/>
    <w:rsid w:val="00CD6E78"/>
    <w:rsid w:val="00D01693"/>
    <w:rsid w:val="00DC77FC"/>
    <w:rsid w:val="00DE7C32"/>
    <w:rsid w:val="00E30DB6"/>
    <w:rsid w:val="00EC7705"/>
    <w:rsid w:val="00EE0B63"/>
    <w:rsid w:val="00F9359D"/>
    <w:rsid w:val="00F963B8"/>
    <w:rsid w:val="00FD1274"/>
    <w:rsid w:val="05712C98"/>
    <w:rsid w:val="0F7F6B12"/>
    <w:rsid w:val="108A51D0"/>
    <w:rsid w:val="112D384F"/>
    <w:rsid w:val="29A529F3"/>
    <w:rsid w:val="318178A1"/>
    <w:rsid w:val="33E553E0"/>
    <w:rsid w:val="377B4E3E"/>
    <w:rsid w:val="394A59F5"/>
    <w:rsid w:val="467B4670"/>
    <w:rsid w:val="47483368"/>
    <w:rsid w:val="4A3F0F6C"/>
    <w:rsid w:val="4CAE25BD"/>
    <w:rsid w:val="4E3D074E"/>
    <w:rsid w:val="54E00249"/>
    <w:rsid w:val="588044A4"/>
    <w:rsid w:val="5F7E484B"/>
    <w:rsid w:val="67FF2DC6"/>
    <w:rsid w:val="73F243C3"/>
    <w:rsid w:val="7716767B"/>
    <w:rsid w:val="778629F4"/>
    <w:rsid w:val="799224C5"/>
    <w:rsid w:val="7B0035CC"/>
    <w:rsid w:val="7FCB6464"/>
    <w:rsid w:val="CBFD7473"/>
    <w:rsid w:val="E7FF865A"/>
    <w:rsid w:val="F9CE7013"/>
    <w:rsid w:val="FF5FA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日期 Char"/>
    <w:basedOn w:val="8"/>
    <w:link w:val="2"/>
    <w:qFormat/>
    <w:uiPriority w:val="0"/>
    <w:rPr>
      <w:kern w:val="2"/>
      <w:sz w:val="21"/>
      <w:szCs w:val="24"/>
    </w:rPr>
  </w:style>
  <w:style w:type="character" w:customStyle="1" w:styleId="12">
    <w:name w:val="font41"/>
    <w:basedOn w:val="8"/>
    <w:qFormat/>
    <w:uiPriority w:val="0"/>
    <w:rPr>
      <w:rFonts w:hint="eastAsia" w:ascii="仿宋_GB2312" w:eastAsia="仿宋_GB2312" w:cs="仿宋_GB2312"/>
      <w:color w:val="000000"/>
      <w:sz w:val="20"/>
      <w:szCs w:val="20"/>
      <w:u w:val="none"/>
    </w:rPr>
  </w:style>
  <w:style w:type="character" w:customStyle="1" w:styleId="13">
    <w:name w:val="font21"/>
    <w:basedOn w:val="8"/>
    <w:qFormat/>
    <w:uiPriority w:val="0"/>
    <w:rPr>
      <w:rFonts w:hint="eastAsia" w:ascii="宋体" w:hAnsi="宋体" w:eastAsia="宋体" w:cs="宋体"/>
      <w:color w:val="000000"/>
      <w:sz w:val="20"/>
      <w:szCs w:val="20"/>
      <w:u w:val="none"/>
    </w:rPr>
  </w:style>
  <w:style w:type="character" w:customStyle="1" w:styleId="14">
    <w:name w:val="font51"/>
    <w:basedOn w:val="8"/>
    <w:qFormat/>
    <w:uiPriority w:val="0"/>
    <w:rPr>
      <w:rFonts w:hint="default" w:ascii="Times New Roman" w:hAnsi="Times New Roman" w:cs="Times New Roman"/>
      <w:color w:val="000000"/>
      <w:sz w:val="20"/>
      <w:szCs w:val="20"/>
      <w:u w:val="none"/>
    </w:rPr>
  </w:style>
  <w:style w:type="character" w:customStyle="1" w:styleId="15">
    <w:name w:val="font61"/>
    <w:basedOn w:val="8"/>
    <w:qFormat/>
    <w:uiPriority w:val="0"/>
    <w:rPr>
      <w:rFonts w:hint="eastAsia" w:ascii="宋体" w:hAnsi="宋体" w:eastAsia="宋体" w:cs="宋体"/>
      <w:color w:val="000000"/>
      <w:sz w:val="20"/>
      <w:szCs w:val="20"/>
      <w:u w:val="none"/>
    </w:rPr>
  </w:style>
  <w:style w:type="character" w:customStyle="1" w:styleId="16">
    <w:name w:val="font91"/>
    <w:basedOn w:val="8"/>
    <w:qFormat/>
    <w:uiPriority w:val="0"/>
    <w:rPr>
      <w:rFonts w:hint="default" w:ascii="Times New Roman" w:hAnsi="Times New Roman" w:cs="Times New Roman"/>
      <w:color w:val="000000"/>
      <w:sz w:val="20"/>
      <w:szCs w:val="20"/>
      <w:u w:val="none"/>
    </w:rPr>
  </w:style>
  <w:style w:type="character" w:customStyle="1" w:styleId="17">
    <w:name w:val="font31"/>
    <w:basedOn w:val="8"/>
    <w:qFormat/>
    <w:uiPriority w:val="0"/>
    <w:rPr>
      <w:rFonts w:hint="eastAsia" w:ascii="仿宋_GB2312" w:eastAsia="仿宋_GB2312" w:cs="仿宋_GB2312"/>
      <w:color w:val="000000"/>
      <w:sz w:val="20"/>
      <w:szCs w:val="20"/>
      <w:u w:val="none"/>
    </w:rPr>
  </w:style>
  <w:style w:type="character" w:customStyle="1" w:styleId="18">
    <w:name w:val="font81"/>
    <w:basedOn w:val="8"/>
    <w:qFormat/>
    <w:uiPriority w:val="0"/>
    <w:rPr>
      <w:rFonts w:hint="default" w:ascii="Calibri" w:hAnsi="Calibri" w:cs="Calibri"/>
      <w:color w:val="000000"/>
      <w:sz w:val="18"/>
      <w:szCs w:val="18"/>
      <w:u w:val="none"/>
    </w:rPr>
  </w:style>
  <w:style w:type="character" w:customStyle="1" w:styleId="1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6</Pages>
  <Words>286</Words>
  <Characters>1635</Characters>
  <Lines>13</Lines>
  <Paragraphs>3</Paragraphs>
  <TotalTime>4</TotalTime>
  <ScaleCrop>false</ScaleCrop>
  <LinksUpToDate>false</LinksUpToDate>
  <CharactersWithSpaces>1918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2024-07-17T19:29:00Z</dcterms:created>
  <dc:creator>Administrator</dc:creator>
  <cp:lastModifiedBy>user</cp:lastModifiedBy>
  <cp:lastPrinted>2024-07-17T19:30:00Z</cp:lastPrinted>
  <dcterms:modified xsi:type="dcterms:W3CDTF">2025-06-17T16:49:08Z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1A3D30050BF14F7CB9ABF8DB34245CE0</vt:lpwstr>
  </property>
</Properties>
</file>