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黑体" w:hAnsi="黑体" w:eastAsia="黑体" w:cs="Times New Roman"/>
          <w:color w:val="000000"/>
          <w:kern w:val="0"/>
          <w:sz w:val="36"/>
          <w:szCs w:val="36"/>
          <w:shd w:val="clear" w:color="auto" w:fill="FFFFFF"/>
        </w:rPr>
      </w:pPr>
      <w:bookmarkStart w:id="0" w:name="_GoBack"/>
      <w:bookmarkEnd w:id="0"/>
    </w:p>
    <w:p>
      <w:pPr>
        <w:widowControl/>
        <w:spacing w:line="600"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lang w:eastAsia="zh-CN"/>
        </w:rPr>
        <w:t>安溪县参内镇</w:t>
      </w:r>
      <w:r>
        <w:rPr>
          <w:rFonts w:hint="eastAsia" w:ascii="方正小标宋简体" w:hAnsi="方正小标宋简体" w:eastAsia="方正小标宋简体" w:cs="方正小标宋简体"/>
          <w:color w:val="000000"/>
          <w:kern w:val="0"/>
          <w:sz w:val="44"/>
          <w:szCs w:val="44"/>
          <w:shd w:val="clear" w:color="auto" w:fill="FFFFFF"/>
        </w:rPr>
        <w:t>人民政府</w:t>
      </w:r>
      <w:r>
        <w:rPr>
          <w:rFonts w:ascii="方正小标宋简体" w:hAnsi="方正小标宋简体" w:eastAsia="方正小标宋简体" w:cs="方正小标宋简体"/>
          <w:color w:val="000000"/>
          <w:kern w:val="0"/>
          <w:sz w:val="44"/>
          <w:szCs w:val="44"/>
          <w:shd w:val="clear" w:color="auto" w:fill="FFFFFF"/>
        </w:rPr>
        <w:t>202</w:t>
      </w:r>
      <w:r>
        <w:rPr>
          <w:rFonts w:hint="eastAsia" w:ascii="方正小标宋简体" w:hAnsi="方正小标宋简体" w:eastAsia="方正小标宋简体" w:cs="方正小标宋简体"/>
          <w:color w:val="000000"/>
          <w:kern w:val="0"/>
          <w:sz w:val="44"/>
          <w:szCs w:val="44"/>
          <w:shd w:val="clear" w:color="auto" w:fill="FFFFFF"/>
          <w:lang w:val="en-US" w:eastAsia="zh-CN"/>
        </w:rPr>
        <w:t>3</w:t>
      </w:r>
      <w:r>
        <w:rPr>
          <w:rFonts w:hint="eastAsia" w:ascii="方正小标宋简体" w:hAnsi="方正小标宋简体" w:eastAsia="方正小标宋简体" w:cs="方正小标宋简体"/>
          <w:color w:val="000000"/>
          <w:kern w:val="0"/>
          <w:sz w:val="44"/>
          <w:szCs w:val="44"/>
          <w:shd w:val="clear" w:color="auto" w:fill="FFFFFF"/>
        </w:rPr>
        <w:t>年</w:t>
      </w:r>
    </w:p>
    <w:p>
      <w:pPr>
        <w:widowControl/>
        <w:spacing w:line="600"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政府信息公开工作年度报告</w:t>
      </w:r>
    </w:p>
    <w:p>
      <w:pPr>
        <w:widowControl/>
        <w:spacing w:line="600"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rPr>
      </w:pPr>
      <w:r>
        <w:rPr>
          <w:rFonts w:hint="eastAsia" w:ascii="仿宋_GB2312" w:hAnsi="宋体" w:eastAsia="仿宋_GB2312" w:cs="仿宋_GB2312"/>
          <w:color w:val="000000"/>
          <w:kern w:val="0"/>
          <w:sz w:val="32"/>
          <w:szCs w:val="32"/>
        </w:rPr>
        <w:t>根据《中华人民共和国政府信息公开条例》（国务院令第</w:t>
      </w:r>
      <w:r>
        <w:rPr>
          <w:rFonts w:ascii="仿宋_GB2312" w:hAnsi="宋体" w:eastAsia="仿宋_GB2312" w:cs="仿宋_GB2312"/>
          <w:color w:val="000000"/>
          <w:kern w:val="0"/>
          <w:sz w:val="32"/>
          <w:szCs w:val="32"/>
        </w:rPr>
        <w:t>711</w:t>
      </w:r>
      <w:r>
        <w:rPr>
          <w:rFonts w:hint="eastAsia" w:ascii="仿宋_GB2312" w:hAnsi="宋体" w:eastAsia="仿宋_GB2312" w:cs="仿宋_GB2312"/>
          <w:color w:val="000000"/>
          <w:kern w:val="0"/>
          <w:sz w:val="32"/>
          <w:szCs w:val="32"/>
        </w:rPr>
        <w:t>号）</w:t>
      </w:r>
      <w:r>
        <w:rPr>
          <w:rFonts w:hint="eastAsia" w:ascii="仿宋_GB2312" w:hAnsi="宋体" w:eastAsia="仿宋_GB2312" w:cs="仿宋_GB2312"/>
          <w:color w:val="000000"/>
          <w:kern w:val="0"/>
          <w:sz w:val="32"/>
          <w:szCs w:val="32"/>
          <w:lang w:eastAsia="zh-CN"/>
        </w:rPr>
        <w:t>、国务院办公厅、福建省政府办公厅、泉州市政府办公室关于政府信息公开工作</w:t>
      </w:r>
      <w:r>
        <w:rPr>
          <w:rFonts w:hint="eastAsia" w:ascii="仿宋_GB2312" w:hAnsi="宋体" w:eastAsia="仿宋_GB2312" w:cs="仿宋_GB2312"/>
          <w:color w:val="000000"/>
          <w:kern w:val="0"/>
          <w:sz w:val="32"/>
          <w:szCs w:val="32"/>
        </w:rPr>
        <w:t>等要求，</w:t>
      </w:r>
      <w:r>
        <w:rPr>
          <w:rFonts w:hint="eastAsia" w:ascii="仿宋" w:hAnsi="仿宋" w:eastAsia="仿宋" w:cs="仿宋"/>
          <w:color w:val="000000"/>
          <w:kern w:val="0"/>
          <w:sz w:val="32"/>
          <w:szCs w:val="32"/>
        </w:rPr>
        <w:t>特编制并向社会公布安溪县参内镇人民政府202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政府信息公开工作年度报告。本报告由总体情况，主动公开政府信息的情况，收到和处理政府信息公开申请情况，政府信息公开行政复议、行政诉讼情况，存在的主要问题及改进情况，其他需要报告的事项等六部分组成。本年报中所列数据的统计期限自</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日起至</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12</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31</w:t>
      </w:r>
      <w:r>
        <w:rPr>
          <w:rFonts w:hint="eastAsia" w:ascii="仿宋_GB2312" w:hAnsi="宋体" w:eastAsia="仿宋_GB2312" w:cs="仿宋_GB2312"/>
          <w:color w:val="000000"/>
          <w:kern w:val="0"/>
          <w:sz w:val="32"/>
          <w:szCs w:val="32"/>
        </w:rPr>
        <w:t>日止</w:t>
      </w:r>
      <w:r>
        <w:rPr>
          <w:rFonts w:hint="eastAsia" w:ascii="仿宋" w:hAnsi="仿宋" w:eastAsia="仿宋" w:cs="仿宋"/>
          <w:color w:val="000000"/>
          <w:kern w:val="0"/>
          <w:sz w:val="32"/>
          <w:szCs w:val="32"/>
        </w:rPr>
        <w:t>。本年报的电子版可在“安溪县政府门户网”（www.fjax.gov.cn）下载。如对本年报有疑问，请与参内镇党政综合办公室联系（地址:参内</w:t>
      </w:r>
      <w:r>
        <w:rPr>
          <w:rFonts w:hint="eastAsia" w:ascii="仿宋" w:hAnsi="仿宋" w:eastAsia="仿宋" w:cs="仿宋"/>
          <w:color w:val="000000"/>
          <w:kern w:val="0"/>
          <w:sz w:val="32"/>
          <w:szCs w:val="32"/>
          <w:lang w:eastAsia="zh-CN"/>
        </w:rPr>
        <w:t>镇大美路</w:t>
      </w:r>
      <w:r>
        <w:rPr>
          <w:rFonts w:hint="eastAsia" w:ascii="仿宋" w:hAnsi="仿宋" w:eastAsia="仿宋" w:cs="仿宋"/>
          <w:color w:val="000000"/>
          <w:kern w:val="0"/>
          <w:sz w:val="32"/>
          <w:szCs w:val="32"/>
          <w:lang w:val="en-US" w:eastAsia="zh-CN"/>
        </w:rPr>
        <w:t>1号</w:t>
      </w:r>
      <w:r>
        <w:rPr>
          <w:rFonts w:hint="eastAsia" w:ascii="仿宋" w:hAnsi="仿宋" w:eastAsia="仿宋" w:cs="仿宋"/>
          <w:color w:val="000000"/>
          <w:kern w:val="0"/>
          <w:sz w:val="32"/>
          <w:szCs w:val="32"/>
        </w:rPr>
        <w:t>，邮编：362400，电话：</w:t>
      </w:r>
      <w:r>
        <w:rPr>
          <w:rFonts w:hint="eastAsia" w:ascii="仿宋" w:hAnsi="仿宋" w:eastAsia="仿宋" w:cs="仿宋"/>
          <w:color w:val="000000"/>
          <w:kern w:val="0"/>
          <w:sz w:val="32"/>
          <w:szCs w:val="32"/>
          <w:lang w:val="en-US" w:eastAsia="zh-CN"/>
        </w:rPr>
        <w:t>0595-</w:t>
      </w:r>
      <w:r>
        <w:rPr>
          <w:rFonts w:hint="eastAsia" w:ascii="仿宋" w:hAnsi="仿宋" w:eastAsia="仿宋" w:cs="仿宋"/>
          <w:color w:val="000000"/>
          <w:kern w:val="0"/>
          <w:sz w:val="32"/>
          <w:szCs w:val="32"/>
        </w:rPr>
        <w:t>23232684，电子邮箱：</w:t>
      </w:r>
      <w:r>
        <w:rPr>
          <w:rFonts w:hint="eastAsia" w:ascii="仿宋" w:hAnsi="仿宋" w:eastAsia="仿宋" w:cs="仿宋"/>
          <w:i w:val="0"/>
          <w:iCs w:val="0"/>
          <w:color w:val="000000"/>
          <w:kern w:val="0"/>
          <w:sz w:val="32"/>
          <w:szCs w:val="32"/>
          <w:u w:val="none"/>
        </w:rPr>
        <w:fldChar w:fldCharType="begin"/>
      </w:r>
      <w:r>
        <w:rPr>
          <w:rFonts w:hint="eastAsia" w:ascii="仿宋" w:hAnsi="仿宋" w:eastAsia="仿宋" w:cs="仿宋"/>
          <w:i w:val="0"/>
          <w:iCs w:val="0"/>
          <w:color w:val="000000"/>
          <w:kern w:val="0"/>
          <w:sz w:val="32"/>
          <w:szCs w:val="32"/>
          <w:u w:val="none"/>
        </w:rPr>
        <w:instrText xml:space="preserve"> HYPERLINK "mailto:axcnxdzb@163.com）。" </w:instrText>
      </w:r>
      <w:r>
        <w:rPr>
          <w:rFonts w:hint="eastAsia" w:ascii="仿宋" w:hAnsi="仿宋" w:eastAsia="仿宋" w:cs="仿宋"/>
          <w:i w:val="0"/>
          <w:iCs w:val="0"/>
          <w:color w:val="000000"/>
          <w:kern w:val="0"/>
          <w:sz w:val="32"/>
          <w:szCs w:val="32"/>
          <w:u w:val="none"/>
        </w:rPr>
        <w:fldChar w:fldCharType="separate"/>
      </w:r>
      <w:r>
        <w:rPr>
          <w:rStyle w:val="6"/>
          <w:rFonts w:hint="eastAsia" w:ascii="仿宋" w:hAnsi="仿宋" w:eastAsia="仿宋" w:cs="仿宋"/>
          <w:i w:val="0"/>
          <w:iCs w:val="0"/>
          <w:color w:val="000000"/>
          <w:kern w:val="0"/>
          <w:sz w:val="32"/>
          <w:szCs w:val="32"/>
          <w:u w:val="none"/>
        </w:rPr>
        <w:t>axcnxdzb@163.com）。</w:t>
      </w:r>
      <w:r>
        <w:rPr>
          <w:rFonts w:hint="eastAsia" w:ascii="仿宋" w:hAnsi="仿宋" w:eastAsia="仿宋" w:cs="仿宋"/>
          <w:i w:val="0"/>
          <w:iCs w:val="0"/>
          <w:color w:val="000000"/>
          <w:kern w:val="0"/>
          <w:sz w:val="32"/>
          <w:szCs w:val="32"/>
          <w:u w:val="none"/>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bCs/>
          <w:color w:val="000000"/>
          <w:kern w:val="0"/>
          <w:sz w:val="32"/>
          <w:szCs w:val="32"/>
          <w:lang w:eastAsia="zh-CN"/>
        </w:rPr>
      </w:pPr>
      <w:r>
        <w:rPr>
          <w:rFonts w:hint="eastAsia" w:ascii="黑体" w:hAnsi="黑体" w:eastAsia="黑体" w:cs="黑体"/>
          <w:b/>
          <w:bCs/>
          <w:color w:val="000000"/>
          <w:kern w:val="0"/>
          <w:sz w:val="32"/>
          <w:szCs w:val="32"/>
          <w:lang w:eastAsia="zh-CN"/>
        </w:rPr>
        <w:t>一</w:t>
      </w:r>
      <w:r>
        <w:rPr>
          <w:rFonts w:hint="eastAsia" w:ascii="黑体" w:hAnsi="黑体" w:eastAsia="黑体" w:cs="宋体"/>
          <w:b w:val="0"/>
          <w:bCs w:val="0"/>
          <w:color w:val="000000"/>
          <w:kern w:val="0"/>
          <w:sz w:val="32"/>
          <w:szCs w:val="32"/>
          <w:shd w:val="clear" w:color="auto" w:fill="auto"/>
          <w:lang w:val="en-US" w:eastAsia="zh-CN" w:bidi="ar-SA"/>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年，在县人民政府办公室的</w:t>
      </w:r>
      <w:r>
        <w:rPr>
          <w:rFonts w:hint="eastAsia" w:ascii="仿宋_GB2312" w:hAnsi="宋体" w:eastAsia="仿宋_GB2312" w:cs="宋体"/>
          <w:color w:val="000000"/>
          <w:kern w:val="0"/>
          <w:sz w:val="32"/>
          <w:szCs w:val="32"/>
          <w:lang w:eastAsia="zh-CN"/>
        </w:rPr>
        <w:t>正确领导</w:t>
      </w:r>
      <w:r>
        <w:rPr>
          <w:rFonts w:hint="eastAsia" w:ascii="仿宋_GB2312" w:hAnsi="宋体" w:eastAsia="仿宋_GB2312" w:cs="宋体"/>
          <w:color w:val="000000"/>
          <w:kern w:val="0"/>
          <w:sz w:val="32"/>
          <w:szCs w:val="32"/>
        </w:rPr>
        <w:t>下，</w:t>
      </w:r>
      <w:r>
        <w:rPr>
          <w:rFonts w:hint="eastAsia" w:ascii="仿宋_GB2312" w:hAnsi="宋体" w:eastAsia="仿宋_GB2312" w:cs="宋体"/>
          <w:color w:val="000000"/>
          <w:kern w:val="0"/>
          <w:sz w:val="32"/>
          <w:szCs w:val="32"/>
          <w:lang w:eastAsia="zh-CN"/>
        </w:rPr>
        <w:t>参内镇按照</w:t>
      </w:r>
      <w:r>
        <w:rPr>
          <w:rFonts w:hint="eastAsia" w:ascii="仿宋_GB2312" w:hAnsi="宋体" w:eastAsia="仿宋_GB2312" w:cs="仿宋_GB2312"/>
          <w:color w:val="000000"/>
          <w:kern w:val="0"/>
          <w:sz w:val="32"/>
          <w:szCs w:val="32"/>
        </w:rPr>
        <w:t>《中华人民共和国政府信息公开条例》</w:t>
      </w:r>
      <w:r>
        <w:rPr>
          <w:rFonts w:hint="eastAsia" w:ascii="仿宋_GB2312" w:hAnsi="宋体" w:eastAsia="仿宋_GB2312" w:cs="宋体"/>
          <w:color w:val="000000"/>
          <w:kern w:val="0"/>
          <w:sz w:val="32"/>
          <w:szCs w:val="32"/>
          <w:lang w:eastAsia="zh-CN"/>
        </w:rPr>
        <w:t>认真贯彻落实关于做好政务公开工作的相关文件要求，扎实有</w:t>
      </w:r>
      <w:r>
        <w:rPr>
          <w:rFonts w:hint="eastAsia" w:ascii="仿宋_GB2312" w:hAnsi="宋体" w:eastAsia="仿宋_GB2312" w:cs="宋体"/>
          <w:color w:val="000000"/>
          <w:kern w:val="0"/>
          <w:sz w:val="32"/>
          <w:szCs w:val="32"/>
        </w:rPr>
        <w:t>序推进政务公开工作</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不断完善政务公开制度体系，积极采取有效措施，全面深化政务公开</w:t>
      </w:r>
      <w:r>
        <w:rPr>
          <w:rFonts w:hint="eastAsia" w:ascii="仿宋_GB2312" w:hAnsi="宋体" w:eastAsia="仿宋_GB2312" w:cs="宋体"/>
          <w:color w:val="000000"/>
          <w:kern w:val="0"/>
          <w:sz w:val="32"/>
          <w:szCs w:val="32"/>
          <w:lang w:eastAsia="zh-CN"/>
        </w:rPr>
        <w:t>各项</w:t>
      </w:r>
      <w:r>
        <w:rPr>
          <w:rFonts w:hint="eastAsia" w:ascii="仿宋_GB2312" w:hAnsi="宋体" w:eastAsia="仿宋_GB2312" w:cs="宋体"/>
          <w:color w:val="000000"/>
          <w:kern w:val="0"/>
          <w:sz w:val="32"/>
          <w:szCs w:val="32"/>
        </w:rPr>
        <w:t>工作。202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eastAsia="zh-CN"/>
        </w:rPr>
        <w:t>我镇</w:t>
      </w:r>
      <w:r>
        <w:rPr>
          <w:rFonts w:hint="eastAsia" w:ascii="仿宋_GB2312" w:hAnsi="宋体" w:eastAsia="仿宋_GB2312" w:cs="宋体"/>
          <w:color w:val="000000"/>
          <w:kern w:val="0"/>
          <w:sz w:val="32"/>
          <w:szCs w:val="32"/>
        </w:rPr>
        <w:t>主动公开政府信息</w:t>
      </w:r>
      <w:r>
        <w:rPr>
          <w:rFonts w:hint="eastAsia" w:ascii="仿宋_GB2312" w:hAnsi="宋体" w:eastAsia="仿宋_GB2312" w:cs="宋体"/>
          <w:color w:val="000000"/>
          <w:kern w:val="0"/>
          <w:sz w:val="32"/>
          <w:szCs w:val="32"/>
          <w:lang w:val="en-US" w:eastAsia="zh-CN"/>
        </w:rPr>
        <w:t>36</w:t>
      </w:r>
      <w:r>
        <w:rPr>
          <w:rFonts w:hint="eastAsia" w:ascii="仿宋_GB2312" w:hAnsi="宋体" w:eastAsia="仿宋_GB2312" w:cs="宋体"/>
          <w:color w:val="000000"/>
          <w:kern w:val="0"/>
          <w:sz w:val="32"/>
          <w:szCs w:val="32"/>
        </w:rPr>
        <w:t>条，全文电子化率100%。</w:t>
      </w:r>
    </w:p>
    <w:p>
      <w:pPr>
        <w:keepNext w:val="0"/>
        <w:keepLines w:val="0"/>
        <w:widowControl/>
        <w:suppressLineNumbers w:val="0"/>
        <w:ind w:firstLine="643" w:firstLineChars="200"/>
        <w:jc w:val="left"/>
        <w:rPr>
          <w:rFonts w:hint="eastAsia" w:ascii="仿宋_GB2312" w:hAnsi="宋体" w:eastAsia="仿宋_GB2312" w:cs="宋体"/>
          <w:color w:val="000000"/>
          <w:kern w:val="0"/>
          <w:sz w:val="32"/>
          <w:szCs w:val="32"/>
        </w:rPr>
      </w:pPr>
      <w:r>
        <w:rPr>
          <w:rFonts w:hint="eastAsia" w:ascii="楷体" w:hAnsi="楷体" w:eastAsia="楷体" w:cs="楷体"/>
          <w:b/>
          <w:bCs/>
          <w:i w:val="0"/>
          <w:iCs w:val="0"/>
          <w:caps w:val="0"/>
          <w:color w:val="000000"/>
          <w:spacing w:val="0"/>
          <w:kern w:val="0"/>
          <w:sz w:val="32"/>
          <w:szCs w:val="32"/>
          <w:shd w:val="clear" w:color="auto" w:fill="auto"/>
          <w:lang w:val="en-US" w:eastAsia="zh-CN" w:bidi="ar"/>
        </w:rPr>
        <w:t>（一）提升工作水平。</w:t>
      </w:r>
      <w:r>
        <w:rPr>
          <w:rFonts w:hint="eastAsia" w:ascii="仿宋_GB2312" w:hAnsi="宋体" w:eastAsia="仿宋_GB2312" w:cs="宋体"/>
          <w:color w:val="000000"/>
          <w:kern w:val="0"/>
          <w:sz w:val="32"/>
          <w:szCs w:val="32"/>
          <w:lang w:val="en-US" w:eastAsia="zh-CN"/>
        </w:rPr>
        <w:t xml:space="preserve">明确工作责任、细化工作措施，确保规范报送要求，提高报送质量，提升报送效率。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3"/>
        <w:jc w:val="both"/>
        <w:textAlignment w:val="auto"/>
        <w:rPr>
          <w:rFonts w:hint="default" w:ascii="仿宋_GB2312" w:hAnsi="宋体" w:eastAsia="仿宋_GB2312" w:cs="宋体"/>
          <w:color w:val="000000"/>
          <w:kern w:val="0"/>
          <w:sz w:val="32"/>
          <w:szCs w:val="32"/>
          <w:lang w:val="en-US" w:eastAsia="zh-CN"/>
        </w:rPr>
      </w:pPr>
      <w:r>
        <w:rPr>
          <w:rFonts w:hint="eastAsia" w:ascii="楷体" w:hAnsi="楷体" w:eastAsia="楷体" w:cs="楷体"/>
          <w:b/>
          <w:bCs/>
          <w:i w:val="0"/>
          <w:iCs w:val="0"/>
          <w:caps w:val="0"/>
          <w:color w:val="000000"/>
          <w:spacing w:val="0"/>
          <w:kern w:val="0"/>
          <w:sz w:val="32"/>
          <w:szCs w:val="32"/>
          <w:shd w:val="clear" w:color="auto" w:fill="auto"/>
          <w:lang w:val="en-US" w:eastAsia="zh-CN" w:bidi="ar"/>
        </w:rPr>
        <w:t>（二）加强平台管理。</w:t>
      </w:r>
      <w:r>
        <w:rPr>
          <w:rFonts w:hint="eastAsia" w:ascii="仿宋_GB2312" w:hAnsi="宋体" w:eastAsia="仿宋_GB2312" w:cs="宋体"/>
          <w:color w:val="000000"/>
          <w:kern w:val="0"/>
          <w:sz w:val="32"/>
          <w:szCs w:val="32"/>
          <w:lang w:val="en-US" w:eastAsia="zh-CN"/>
        </w:rPr>
        <w:t>我镇对公开的内容定期自查自检，同时对照政务公开第三方测评反馈存在的问题进行整改。确保信息准确无误，全面统筹推进政务公开工作扎实有序开展，不断提升政务公开标准化规范化水平。</w:t>
      </w:r>
      <w:r>
        <w:rPr>
          <w:rFonts w:hint="eastAsia" w:ascii="仿宋_GB2312" w:hAnsi="宋体" w:eastAsia="仿宋_GB2312" w:cs="宋体"/>
          <w:color w:val="000000"/>
          <w:kern w:val="0"/>
          <w:sz w:val="32"/>
          <w:szCs w:val="32"/>
          <w:shd w:val="clear" w:color="auto" w:fill="auto"/>
          <w:lang w:val="en-US" w:eastAsia="zh-CN"/>
        </w:rPr>
        <w:t>各村（社区）通过提升村级</w:t>
      </w:r>
      <w:r>
        <w:rPr>
          <w:rFonts w:hint="eastAsia" w:ascii="仿宋_GB2312" w:hAnsi="宋体" w:eastAsia="仿宋_GB2312" w:cs="宋体"/>
          <w:color w:val="000000"/>
          <w:kern w:val="0"/>
          <w:sz w:val="32"/>
          <w:szCs w:val="32"/>
          <w:lang w:val="en-US" w:eastAsia="zh-CN"/>
        </w:rPr>
        <w:t>“小微权力”</w:t>
      </w:r>
      <w:r>
        <w:rPr>
          <w:rFonts w:hint="eastAsia" w:ascii="仿宋_GB2312" w:hAnsi="宋体" w:eastAsia="仿宋_GB2312" w:cs="宋体"/>
          <w:color w:val="000000"/>
          <w:kern w:val="0"/>
          <w:sz w:val="32"/>
          <w:szCs w:val="32"/>
          <w:shd w:val="clear" w:color="auto" w:fill="auto"/>
          <w:lang w:val="en-US" w:eastAsia="zh-CN"/>
        </w:rPr>
        <w:t>信息化监督平台，大力宣传政府信息公开工作，进一步提升群众知晓率、参与度。</w:t>
      </w:r>
      <w:r>
        <w:rPr>
          <w:rFonts w:hint="eastAsia" w:ascii="仿宋_GB2312" w:hAnsi="宋体" w:eastAsia="仿宋_GB2312" w:cs="宋体"/>
          <w:color w:val="000000"/>
          <w:kern w:val="0"/>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top"/>
        <w:rPr>
          <w:rFonts w:hint="eastAsia" w:ascii="黑体" w:hAnsi="黑体" w:eastAsia="黑体" w:cs="宋体"/>
          <w:b w:val="0"/>
          <w:bCs w:val="0"/>
          <w:color w:val="000000"/>
          <w:kern w:val="0"/>
          <w:sz w:val="32"/>
          <w:szCs w:val="32"/>
          <w:shd w:val="clear" w:color="auto" w:fill="auto"/>
          <w:lang w:val="en-US" w:eastAsia="zh-CN" w:bidi="ar-SA"/>
        </w:rPr>
      </w:pPr>
      <w:r>
        <w:rPr>
          <w:rFonts w:hint="eastAsia" w:ascii="黑体" w:hAnsi="黑体" w:eastAsia="黑体" w:cs="宋体"/>
          <w:b w:val="0"/>
          <w:bCs w:val="0"/>
          <w:color w:val="000000"/>
          <w:kern w:val="0"/>
          <w:sz w:val="32"/>
          <w:szCs w:val="32"/>
          <w:shd w:val="clear" w:color="auto" w:fill="auto"/>
          <w:lang w:val="en-US" w:eastAsia="zh-CN" w:bidi="ar-SA"/>
        </w:rPr>
        <w:t>二、主动公开政府信息情况</w:t>
      </w:r>
    </w:p>
    <w:tbl>
      <w:tblPr>
        <w:tblStyle w:val="3"/>
        <w:tblpPr w:leftFromText="180" w:rightFromText="180" w:vertAnchor="text" w:horzAnchor="page" w:tblpX="1924" w:tblpY="169"/>
        <w:tblOverlap w:val="never"/>
        <w:tblW w:w="842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103"/>
        <w:gridCol w:w="2103"/>
        <w:gridCol w:w="2103"/>
        <w:gridCol w:w="21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8426" w:type="dxa"/>
            <w:gridSpan w:val="4"/>
            <w:tcBorders>
              <w:top w:val="single" w:color="auto" w:sz="6" w:space="0"/>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第二十条第（一）项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信息内容</w:t>
            </w:r>
          </w:p>
        </w:tc>
        <w:tc>
          <w:tcPr>
            <w:tcW w:w="2103"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本年</w:t>
            </w:r>
            <w:r>
              <w:rPr>
                <w:rFonts w:hint="eastAsia" w:ascii="宋体" w:hAnsi="宋体" w:eastAsia="宋体" w:cs="宋体"/>
                <w:sz w:val="24"/>
                <w:szCs w:val="24"/>
              </w:rPr>
              <w:t>制发件数</w:t>
            </w:r>
          </w:p>
        </w:tc>
        <w:tc>
          <w:tcPr>
            <w:tcW w:w="2103"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本年废止件数</w:t>
            </w:r>
          </w:p>
        </w:tc>
        <w:tc>
          <w:tcPr>
            <w:tcW w:w="2117"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现行有效件</w:t>
            </w:r>
            <w:r>
              <w:rPr>
                <w:rFonts w:hint="eastAsia" w:ascii="宋体" w:hAnsi="宋体" w:eastAsia="宋体" w:cs="宋体"/>
                <w:sz w:val="24"/>
                <w:szCs w:val="24"/>
              </w:rPr>
              <w:t>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color w:val="000000"/>
                <w:sz w:val="24"/>
                <w:szCs w:val="24"/>
              </w:rPr>
              <w:t>规章</w:t>
            </w:r>
          </w:p>
        </w:tc>
        <w:tc>
          <w:tcPr>
            <w:tcW w:w="2103"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2103"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211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color w:val="000000"/>
                <w:sz w:val="24"/>
                <w:szCs w:val="24"/>
              </w:rPr>
              <w:t>行政规范性文件</w:t>
            </w:r>
          </w:p>
        </w:tc>
        <w:tc>
          <w:tcPr>
            <w:tcW w:w="2103"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default" w:ascii="宋体" w:hAnsi="宋体" w:eastAsia="宋体" w:cs="宋体"/>
                <w:sz w:val="24"/>
                <w:szCs w:val="24"/>
                <w:lang w:val="en-US" w:eastAsia="zh-CN"/>
              </w:rPr>
            </w:pPr>
            <w:r>
              <w:rPr>
                <w:rFonts w:hint="eastAsia" w:ascii="宋体" w:hAnsi="宋体" w:cs="宋体"/>
                <w:sz w:val="24"/>
                <w:szCs w:val="24"/>
                <w:lang w:val="en-US" w:eastAsia="zh-CN"/>
              </w:rPr>
              <w:t>0</w:t>
            </w:r>
          </w:p>
        </w:tc>
        <w:tc>
          <w:tcPr>
            <w:tcW w:w="2103"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1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default"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8426"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第二十条第（五）项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信息内容</w:t>
            </w:r>
          </w:p>
        </w:tc>
        <w:tc>
          <w:tcPr>
            <w:tcW w:w="6323"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color w:val="000000"/>
                <w:sz w:val="24"/>
                <w:szCs w:val="24"/>
              </w:rPr>
              <w:t>行政许可</w:t>
            </w:r>
          </w:p>
        </w:tc>
        <w:tc>
          <w:tcPr>
            <w:tcW w:w="6323"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8426"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第二十条第（六）项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信息内容</w:t>
            </w:r>
          </w:p>
        </w:tc>
        <w:tc>
          <w:tcPr>
            <w:tcW w:w="6323" w:type="dxa"/>
            <w:gridSpan w:val="3"/>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color w:val="000000"/>
                <w:sz w:val="24"/>
                <w:szCs w:val="24"/>
              </w:rPr>
              <w:t>行政处罚</w:t>
            </w:r>
          </w:p>
        </w:tc>
        <w:tc>
          <w:tcPr>
            <w:tcW w:w="6323"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color w:val="000000"/>
                <w:sz w:val="24"/>
                <w:szCs w:val="24"/>
              </w:rPr>
              <w:t>行政强制</w:t>
            </w:r>
          </w:p>
        </w:tc>
        <w:tc>
          <w:tcPr>
            <w:tcW w:w="6323"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8426"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第二十条第（八）项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信息内容</w:t>
            </w:r>
          </w:p>
        </w:tc>
        <w:tc>
          <w:tcPr>
            <w:tcW w:w="6323" w:type="dxa"/>
            <w:gridSpan w:val="3"/>
            <w:tcBorders>
              <w:top w:val="nil"/>
              <w:left w:val="nil"/>
              <w:bottom w:val="single" w:color="auto" w:sz="6" w:space="0"/>
              <w:right w:val="single" w:color="000000"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本年收费金额（单位：万元）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color w:val="000000"/>
                <w:sz w:val="24"/>
                <w:szCs w:val="24"/>
              </w:rPr>
              <w:t>行政事业性收费</w:t>
            </w:r>
          </w:p>
        </w:tc>
        <w:tc>
          <w:tcPr>
            <w:tcW w:w="6323" w:type="dxa"/>
            <w:gridSpan w:val="3"/>
            <w:tcBorders>
              <w:top w:val="nil"/>
              <w:left w:val="nil"/>
              <w:bottom w:val="single" w:color="auto" w:sz="6" w:space="0"/>
              <w:right w:val="single" w:color="000000"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top"/>
        <w:rPr>
          <w:rFonts w:hint="eastAsia" w:ascii="黑体" w:hAnsi="黑体" w:eastAsia="黑体" w:cs="黑体"/>
          <w:b w:val="0"/>
          <w:bCs w:val="0"/>
          <w:color w:val="000000"/>
          <w:kern w:val="2"/>
          <w:sz w:val="32"/>
          <w:szCs w:val="32"/>
          <w:shd w:val="clear" w:color="auto" w:fill="FFFFFF"/>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三、收到和处理政府信息公开申请情况</w:t>
      </w:r>
    </w:p>
    <w:tbl>
      <w:tblPr>
        <w:tblStyle w:val="3"/>
        <w:tblW w:w="856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600"/>
        <w:gridCol w:w="919"/>
        <w:gridCol w:w="2452"/>
        <w:gridCol w:w="597"/>
        <w:gridCol w:w="597"/>
        <w:gridCol w:w="597"/>
        <w:gridCol w:w="597"/>
        <w:gridCol w:w="598"/>
        <w:gridCol w:w="599"/>
        <w:gridCol w:w="10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71" w:type="dxa"/>
            <w:gridSpan w:val="3"/>
            <w:vMerge w:val="restart"/>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（本列数据的勾稽关系为：第一项加第二项之和，等于第三项加第四项之和）</w:t>
            </w:r>
          </w:p>
        </w:tc>
        <w:tc>
          <w:tcPr>
            <w:tcW w:w="4592" w:type="dxa"/>
            <w:gridSpan w:val="7"/>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sz w:val="24"/>
                <w:szCs w:val="24"/>
              </w:rPr>
              <w:t>申请人情况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71"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597"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sz w:val="24"/>
                <w:szCs w:val="24"/>
              </w:rPr>
              <w:t>自然人</w:t>
            </w:r>
          </w:p>
        </w:tc>
        <w:tc>
          <w:tcPr>
            <w:tcW w:w="2988" w:type="dxa"/>
            <w:gridSpan w:val="5"/>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sz w:val="24"/>
                <w:szCs w:val="24"/>
              </w:rPr>
              <w:t>法人或其他组织</w:t>
            </w:r>
          </w:p>
        </w:tc>
        <w:tc>
          <w:tcPr>
            <w:tcW w:w="1007" w:type="dxa"/>
            <w:vMerge w:val="restart"/>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sz w:val="24"/>
                <w:szCs w:val="24"/>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71"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597"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sz w:val="24"/>
                <w:szCs w:val="24"/>
              </w:rPr>
              <w:t>商业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sz w:val="24"/>
                <w:szCs w:val="24"/>
              </w:rPr>
              <w:t>企业</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sz w:val="24"/>
                <w:szCs w:val="24"/>
              </w:rPr>
              <w:t>科研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sz w:val="24"/>
                <w:szCs w:val="24"/>
              </w:rPr>
              <w:t>机构</w:t>
            </w:r>
          </w:p>
        </w:tc>
        <w:tc>
          <w:tcPr>
            <w:tcW w:w="597"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sz w:val="24"/>
                <w:szCs w:val="24"/>
              </w:rPr>
              <w:t>社会公益组织</w:t>
            </w:r>
          </w:p>
        </w:tc>
        <w:tc>
          <w:tcPr>
            <w:tcW w:w="598"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sz w:val="24"/>
                <w:szCs w:val="24"/>
              </w:rPr>
              <w:t>法律服务机构</w:t>
            </w:r>
          </w:p>
        </w:tc>
        <w:tc>
          <w:tcPr>
            <w:tcW w:w="599"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宋体" w:hAnsi="宋体" w:eastAsia="宋体" w:cs="宋体"/>
                <w:sz w:val="24"/>
                <w:szCs w:val="24"/>
              </w:rPr>
            </w:pPr>
            <w:r>
              <w:rPr>
                <w:rFonts w:hint="eastAsia" w:ascii="宋体" w:hAnsi="宋体" w:eastAsia="宋体" w:cs="宋体"/>
                <w:sz w:val="24"/>
                <w:szCs w:val="24"/>
              </w:rPr>
              <w:t>其他</w:t>
            </w:r>
          </w:p>
        </w:tc>
        <w:tc>
          <w:tcPr>
            <w:tcW w:w="1007" w:type="dxa"/>
            <w:vMerge w:val="continue"/>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71"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一、本年新收政府信息公开申请数量</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71"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二、上年结转政府信息公开申请数量</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restart"/>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三、本年度办理结果</w:t>
            </w:r>
          </w:p>
        </w:tc>
        <w:tc>
          <w:tcPr>
            <w:tcW w:w="3371"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（一）予以公开</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3371"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（二）部分公开（区分处理的，只计这一情形，不计其他情形）</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（三）不予公开</w:t>
            </w: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1.属于国家秘密</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2.其他法律行政法规禁止公开</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3.危及“三安全一稳定”</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4.保护第三方合法权益</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5.属于三类内部事务信息</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6.属于四类过程性信息</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7.属于行政执法案卷</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8.属于行政查询事项</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（四）无法提供</w:t>
            </w: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1.本机关不掌握相关政府信息</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2.没有现成信息需要另行制作</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3.补正后申请内容仍不明确</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（五）不予处理</w:t>
            </w: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1.信访举报投诉类申请</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2.重复申请</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3.要求提供公开出版物</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4.无正当理由大量反复申请</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outset"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top"/>
              <w:rPr>
                <w:rFonts w:hint="eastAsia" w:ascii="宋体" w:hAnsi="宋体" w:eastAsia="宋体" w:cs="宋体"/>
                <w:sz w:val="24"/>
                <w:szCs w:val="24"/>
              </w:rPr>
            </w:pPr>
            <w:r>
              <w:rPr>
                <w:rFonts w:hint="eastAsia" w:ascii="宋体" w:hAnsi="宋体" w:eastAsia="宋体" w:cs="宋体"/>
                <w:sz w:val="24"/>
                <w:szCs w:val="24"/>
              </w:rPr>
              <w:t>5.要求行政机关确认或重新出具已获取信息</w:t>
            </w:r>
          </w:p>
        </w:tc>
        <w:tc>
          <w:tcPr>
            <w:tcW w:w="597" w:type="dxa"/>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restart"/>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（六）其他处理</w:t>
            </w: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top"/>
              <w:rPr>
                <w:rFonts w:hint="eastAsia" w:ascii="宋体" w:hAnsi="宋体" w:eastAsia="宋体" w:cs="宋体"/>
                <w:sz w:val="24"/>
                <w:szCs w:val="24"/>
              </w:rPr>
            </w:pPr>
            <w:r>
              <w:rPr>
                <w:rFonts w:hint="eastAsia" w:ascii="宋体" w:hAnsi="宋体" w:eastAsia="宋体" w:cs="宋体"/>
                <w:sz w:val="24"/>
                <w:szCs w:val="24"/>
              </w:rPr>
              <w:t>1.申请人无正当理由逾期不补正、行政机关不再处理其政府信息公开申请</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top"/>
              <w:rPr>
                <w:rFonts w:hint="eastAsia" w:ascii="宋体" w:hAnsi="宋体" w:eastAsia="宋体" w:cs="宋体"/>
                <w:sz w:val="24"/>
                <w:szCs w:val="24"/>
              </w:rPr>
            </w:pPr>
            <w:r>
              <w:rPr>
                <w:rFonts w:hint="eastAsia" w:ascii="宋体" w:hAnsi="宋体" w:eastAsia="宋体" w:cs="宋体"/>
                <w:sz w:val="24"/>
                <w:szCs w:val="24"/>
              </w:rPr>
              <w:t>2.申请人逾期未按收费通知要求缴纳费用、行政机关不再处理其政府信息公开申请</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919"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245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3.其他</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3371"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（七）总计</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71"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top"/>
              <w:rPr>
                <w:rFonts w:hint="eastAsia" w:ascii="宋体" w:hAnsi="宋体" w:eastAsia="宋体" w:cs="宋体"/>
                <w:sz w:val="24"/>
                <w:szCs w:val="24"/>
              </w:rPr>
            </w:pPr>
            <w:r>
              <w:rPr>
                <w:rFonts w:hint="eastAsia" w:ascii="宋体" w:hAnsi="宋体" w:eastAsia="宋体" w:cs="宋体"/>
                <w:sz w:val="24"/>
                <w:szCs w:val="24"/>
              </w:rPr>
              <w:t>四、结转下年度继续办理</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top"/>
        <w:rPr>
          <w:rFonts w:hint="eastAsia" w:ascii="黑体" w:hAnsi="黑体" w:eastAsia="黑体" w:cs="黑体"/>
          <w:b w:val="0"/>
          <w:bCs w:val="0"/>
          <w:color w:val="000000"/>
          <w:kern w:val="2"/>
          <w:sz w:val="32"/>
          <w:szCs w:val="32"/>
          <w:shd w:val="clear" w:color="auto" w:fill="FFFFFF"/>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四、政府信息公开行政复议、行政诉讼情况</w:t>
      </w:r>
    </w:p>
    <w:tbl>
      <w:tblPr>
        <w:tblStyle w:val="3"/>
        <w:tblpPr w:leftFromText="180" w:rightFromText="180" w:vertAnchor="text" w:horzAnchor="page" w:tblpX="1859" w:tblpY="28"/>
        <w:tblOverlap w:val="never"/>
        <w:tblW w:w="851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567"/>
        <w:gridCol w:w="567"/>
        <w:gridCol w:w="567"/>
        <w:gridCol w:w="567"/>
        <w:gridCol w:w="568"/>
        <w:gridCol w:w="568"/>
        <w:gridCol w:w="568"/>
        <w:gridCol w:w="568"/>
        <w:gridCol w:w="568"/>
        <w:gridCol w:w="568"/>
        <w:gridCol w:w="568"/>
        <w:gridCol w:w="568"/>
        <w:gridCol w:w="568"/>
        <w:gridCol w:w="568"/>
        <w:gridCol w:w="5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836"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行政复议</w:t>
            </w:r>
          </w:p>
        </w:tc>
        <w:tc>
          <w:tcPr>
            <w:tcW w:w="5680" w:type="dxa"/>
            <w:gridSpan w:val="10"/>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行政诉讼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67"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结果维持</w:t>
            </w:r>
          </w:p>
        </w:tc>
        <w:tc>
          <w:tcPr>
            <w:tcW w:w="567"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lang w:eastAsia="zh-CN"/>
              </w:rPr>
            </w:pPr>
            <w:r>
              <w:rPr>
                <w:rFonts w:hint="eastAsia" w:ascii="宋体" w:hAnsi="宋体" w:eastAsia="宋体" w:cs="宋体"/>
                <w:sz w:val="24"/>
                <w:szCs w:val="24"/>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纠正</w:t>
            </w:r>
          </w:p>
        </w:tc>
        <w:tc>
          <w:tcPr>
            <w:tcW w:w="567"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lang w:eastAsia="zh-CN"/>
              </w:rPr>
            </w:pPr>
            <w:r>
              <w:rPr>
                <w:rFonts w:hint="eastAsia" w:ascii="宋体" w:hAnsi="宋体" w:eastAsia="宋体" w:cs="宋体"/>
                <w:sz w:val="24"/>
                <w:szCs w:val="24"/>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结果</w:t>
            </w:r>
          </w:p>
        </w:tc>
        <w:tc>
          <w:tcPr>
            <w:tcW w:w="567"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lang w:eastAsia="zh-CN"/>
              </w:rPr>
            </w:pPr>
            <w:r>
              <w:rPr>
                <w:rFonts w:hint="eastAsia" w:ascii="宋体" w:hAnsi="宋体" w:eastAsia="宋体" w:cs="宋体"/>
                <w:sz w:val="24"/>
                <w:szCs w:val="24"/>
              </w:rPr>
              <w:t>尚未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审结</w:t>
            </w:r>
          </w:p>
        </w:tc>
        <w:tc>
          <w:tcPr>
            <w:tcW w:w="568"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总计</w:t>
            </w:r>
          </w:p>
        </w:tc>
        <w:tc>
          <w:tcPr>
            <w:tcW w:w="284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未经复议直接起诉</w:t>
            </w:r>
          </w:p>
        </w:tc>
        <w:tc>
          <w:tcPr>
            <w:tcW w:w="284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复议后起诉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67"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567"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567"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567"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568"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lang w:eastAsia="zh-CN"/>
              </w:rPr>
            </w:pPr>
            <w:r>
              <w:rPr>
                <w:rFonts w:hint="eastAsia" w:ascii="宋体" w:hAnsi="宋体" w:eastAsia="宋体" w:cs="宋体"/>
                <w:sz w:val="24"/>
                <w:szCs w:val="24"/>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维持</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lang w:eastAsia="zh-CN"/>
              </w:rPr>
            </w:pPr>
            <w:r>
              <w:rPr>
                <w:rFonts w:hint="eastAsia" w:ascii="宋体" w:hAnsi="宋体" w:eastAsia="宋体" w:cs="宋体"/>
                <w:sz w:val="24"/>
                <w:szCs w:val="24"/>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纠正</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lang w:eastAsia="zh-CN"/>
              </w:rPr>
            </w:pPr>
            <w:r>
              <w:rPr>
                <w:rFonts w:hint="eastAsia" w:ascii="宋体" w:hAnsi="宋体" w:eastAsia="宋体" w:cs="宋体"/>
                <w:sz w:val="24"/>
                <w:szCs w:val="24"/>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结果</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lang w:eastAsia="zh-CN"/>
              </w:rPr>
            </w:pPr>
            <w:r>
              <w:rPr>
                <w:rFonts w:hint="eastAsia" w:ascii="宋体" w:hAnsi="宋体" w:eastAsia="宋体" w:cs="宋体"/>
                <w:sz w:val="24"/>
                <w:szCs w:val="24"/>
              </w:rPr>
              <w:t>尚未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审结</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总计</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lang w:eastAsia="zh-CN"/>
              </w:rPr>
            </w:pPr>
            <w:r>
              <w:rPr>
                <w:rFonts w:hint="eastAsia" w:ascii="宋体" w:hAnsi="宋体" w:eastAsia="宋体" w:cs="宋体"/>
                <w:sz w:val="24"/>
                <w:szCs w:val="24"/>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维持</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lang w:eastAsia="zh-CN"/>
              </w:rPr>
            </w:pPr>
            <w:r>
              <w:rPr>
                <w:rFonts w:hint="eastAsia" w:ascii="宋体" w:hAnsi="宋体" w:eastAsia="宋体" w:cs="宋体"/>
                <w:sz w:val="24"/>
                <w:szCs w:val="24"/>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纠正</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结果</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lang w:eastAsia="zh-CN"/>
              </w:rPr>
            </w:pPr>
            <w:r>
              <w:rPr>
                <w:rFonts w:hint="eastAsia" w:ascii="宋体" w:hAnsi="宋体" w:eastAsia="宋体" w:cs="宋体"/>
                <w:sz w:val="24"/>
                <w:szCs w:val="24"/>
              </w:rPr>
              <w:t>尚未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sz w:val="24"/>
                <w:szCs w:val="24"/>
              </w:rPr>
              <w:t>审结</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top"/>
              <w:rPr>
                <w:rFonts w:hint="eastAsia" w:ascii="宋体" w:hAnsi="宋体" w:eastAsia="宋体" w:cs="宋体"/>
                <w:sz w:val="24"/>
                <w:szCs w:val="24"/>
              </w:rPr>
            </w:pPr>
            <w:r>
              <w:rPr>
                <w:rFonts w:hint="eastAsia" w:ascii="宋体" w:hAnsi="宋体" w:eastAsia="宋体" w:cs="宋体"/>
                <w:color w:val="000000"/>
                <w:sz w:val="24"/>
                <w:szCs w:val="24"/>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top"/>
              <w:rPr>
                <w:rFonts w:hint="eastAsia" w:ascii="宋体" w:hAnsi="宋体" w:eastAsia="宋体" w:cs="宋体"/>
                <w:sz w:val="24"/>
                <w:szCs w:val="24"/>
              </w:rPr>
            </w:pPr>
          </w:p>
        </w:tc>
      </w:tr>
    </w:tbl>
    <w:p>
      <w:pPr>
        <w:keepNext w:val="0"/>
        <w:keepLines w:val="0"/>
        <w:pageBreakBefore w:val="0"/>
        <w:widowControl/>
        <w:shd w:val="clear" w:color="auto" w:fill="FFFFFF"/>
        <w:kinsoku/>
        <w:wordWrap/>
        <w:overflowPunct/>
        <w:topLinePunct w:val="0"/>
        <w:autoSpaceDE/>
        <w:autoSpaceDN/>
        <w:bidi w:val="0"/>
        <w:adjustRightInd/>
        <w:snapToGrid/>
        <w:spacing w:before="225" w:after="225" w:line="500" w:lineRule="exact"/>
        <w:ind w:firstLine="240" w:firstLineChars="100"/>
        <w:jc w:val="left"/>
        <w:rPr>
          <w:rFonts w:hint="eastAsia" w:ascii="黑体" w:hAnsi="黑体" w:eastAsia="黑体" w:cs="黑体"/>
          <w:color w:val="000000"/>
          <w:kern w:val="0"/>
          <w:sz w:val="32"/>
          <w:szCs w:val="32"/>
        </w:rPr>
      </w:pPr>
      <w:r>
        <w:rPr>
          <w:rFonts w:hint="eastAsia" w:ascii="宋体" w:hAnsi="宋体" w:eastAsia="宋体" w:cs="宋体"/>
          <w:color w:val="000000"/>
          <w:kern w:val="0"/>
          <w:sz w:val="24"/>
          <w:szCs w:val="24"/>
        </w:rPr>
        <w:t>　</w:t>
      </w:r>
      <w:r>
        <w:rPr>
          <w:rFonts w:hint="eastAsia" w:ascii="黑体" w:hAnsi="黑体" w:eastAsia="黑体" w:cs="黑体"/>
          <w:color w:val="000000"/>
          <w:kern w:val="0"/>
          <w:sz w:val="32"/>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21" w:firstLineChars="100"/>
        <w:jc w:val="left"/>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我镇信息公开工作取得了一定成效，但仍存在一些问题，政府信息公开的内容还不够全面，对政策文件的宣传手段还不够丰富。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21" w:firstLineChars="100"/>
        <w:jc w:val="left"/>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w:t>
      </w:r>
      <w:r>
        <w:rPr>
          <w:rFonts w:hint="eastAsia" w:ascii="楷体" w:hAnsi="楷体" w:eastAsia="楷体" w:cs="楷体"/>
          <w:b/>
          <w:bCs/>
          <w:color w:val="000000"/>
          <w:kern w:val="0"/>
          <w:sz w:val="32"/>
          <w:szCs w:val="32"/>
          <w:lang w:eastAsia="zh-CN"/>
        </w:rPr>
        <w:t>二</w:t>
      </w:r>
      <w:r>
        <w:rPr>
          <w:rFonts w:hint="eastAsia" w:ascii="楷体" w:hAnsi="楷体" w:eastAsia="楷体" w:cs="楷体"/>
          <w:b/>
          <w:bCs/>
          <w:color w:val="000000"/>
          <w:kern w:val="0"/>
          <w:sz w:val="32"/>
          <w:szCs w:val="32"/>
        </w:rPr>
        <w:t>）改进措施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我镇将针对存在的主要问题，立足实际，积极探索，进一步组织学习，对照条例，认真清理参内镇政务公开事项，查漏补缺，理论结合实际的处理好各项公开事项，主动及时更新公开内容，确保公开信息的完整性、及时性、合法性，进一步提升信息公开的数量和质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严格依据《政府信息公开信息处理费管理办法》（国办函〔2020〕109号）《财政部办公厅关于政府信息公开信息处理费收入收缴管理有关事宜的通知》（财办库〔2020〕254号）和《福建省非税收入管理办法》（省政府令第153号）等文件要求，做好信息处理费收缴管理工作。2023年，本单位未收取政府信息处理费。</w:t>
      </w:r>
    </w:p>
    <w:p>
      <w:pPr>
        <w:keepNext w:val="0"/>
        <w:keepLines w:val="0"/>
        <w:pageBreakBefore w:val="0"/>
        <w:widowControl/>
        <w:shd w:val="clear" w:color="auto" w:fill="FFFFFF"/>
        <w:kinsoku/>
        <w:wordWrap/>
        <w:overflowPunct/>
        <w:topLinePunct w:val="0"/>
        <w:autoSpaceDE/>
        <w:autoSpaceDN/>
        <w:bidi w:val="0"/>
        <w:adjustRightInd/>
        <w:snapToGrid/>
        <w:spacing w:before="225" w:after="225" w:line="500" w:lineRule="exact"/>
        <w:jc w:val="left"/>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before="225" w:after="225" w:line="500" w:lineRule="exact"/>
        <w:ind w:firstLine="4480" w:firstLineChars="14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安溪县</w:t>
      </w:r>
      <w:r>
        <w:rPr>
          <w:rFonts w:hint="eastAsia" w:ascii="仿宋_GB2312" w:hAnsi="仿宋_GB2312" w:eastAsia="仿宋_GB2312" w:cs="仿宋_GB2312"/>
          <w:color w:val="000000"/>
          <w:sz w:val="32"/>
          <w:szCs w:val="32"/>
          <w:shd w:val="clear" w:color="auto" w:fill="FFFFFF"/>
          <w:lang w:eastAsia="zh-CN"/>
        </w:rPr>
        <w:t>参内镇人民政府</w:t>
      </w:r>
    </w:p>
    <w:p>
      <w:pPr>
        <w:keepNext w:val="0"/>
        <w:keepLines w:val="0"/>
        <w:pageBreakBefore w:val="0"/>
        <w:widowControl/>
        <w:shd w:val="clear" w:color="auto" w:fill="FFFFFF"/>
        <w:kinsoku/>
        <w:wordWrap/>
        <w:overflowPunct/>
        <w:topLinePunct w:val="0"/>
        <w:autoSpaceDE/>
        <w:autoSpaceDN/>
        <w:bidi w:val="0"/>
        <w:adjustRightInd/>
        <w:snapToGrid/>
        <w:spacing w:before="225" w:after="225" w:line="500" w:lineRule="exact"/>
        <w:ind w:firstLine="320" w:firstLineChars="1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20</w:t>
      </w:r>
      <w:r>
        <w:rPr>
          <w:rFonts w:hint="eastAsia" w:ascii="仿宋_GB2312" w:hAnsi="仿宋_GB2312" w:eastAsia="仿宋_GB2312" w:cs="仿宋_GB2312"/>
          <w:color w:val="000000"/>
          <w:sz w:val="32"/>
          <w:szCs w:val="32"/>
          <w:shd w:val="clear" w:color="auto" w:fill="FFFFFF"/>
          <w:lang w:val="en-US" w:eastAsia="zh-CN"/>
        </w:rPr>
        <w:t>24</w:t>
      </w:r>
      <w:r>
        <w:rPr>
          <w:rFonts w:hint="eastAsia" w:ascii="仿宋_GB2312" w:hAnsi="仿宋_GB2312" w:eastAsia="仿宋_GB2312" w:cs="仿宋_GB2312"/>
          <w:color w:val="000000"/>
          <w:sz w:val="32"/>
          <w:szCs w:val="32"/>
          <w:shd w:val="clear" w:color="auto" w:fill="FFFFFF"/>
        </w:rPr>
        <w:t>年1月</w:t>
      </w:r>
      <w:r>
        <w:rPr>
          <w:rFonts w:hint="eastAsia" w:ascii="仿宋_GB2312" w:hAnsi="仿宋_GB2312" w:eastAsia="仿宋_GB2312" w:cs="仿宋_GB2312"/>
          <w:color w:val="000000"/>
          <w:sz w:val="32"/>
          <w:szCs w:val="32"/>
          <w:shd w:val="clear" w:color="auto" w:fill="FFFFFF"/>
          <w:lang w:val="en-US" w:eastAsia="zh-CN"/>
        </w:rPr>
        <w:t>19</w:t>
      </w:r>
      <w:r>
        <w:rPr>
          <w:rFonts w:hint="eastAsia" w:ascii="仿宋_GB2312" w:hAnsi="仿宋_GB2312" w:eastAsia="仿宋_GB2312" w:cs="仿宋_GB2312"/>
          <w:color w:val="000000"/>
          <w:sz w:val="32"/>
          <w:szCs w:val="32"/>
          <w:shd w:val="clear" w:color="auto" w:fill="FFFFFF"/>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YzkxNjY0YzBmYzY4Njk4NjcxOGRhZTg4YjAzNTYifQ=="/>
  </w:docVars>
  <w:rsids>
    <w:rsidRoot w:val="77CF406B"/>
    <w:rsid w:val="03E6704B"/>
    <w:rsid w:val="12BA0AC2"/>
    <w:rsid w:val="14A36761"/>
    <w:rsid w:val="2C625D1B"/>
    <w:rsid w:val="2DAA38B5"/>
    <w:rsid w:val="77CF406B"/>
    <w:rsid w:val="78B466E4"/>
    <w:rsid w:val="7E69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1664</Words>
  <Characters>1775</Characters>
  <Lines>0</Lines>
  <Paragraphs>0</Paragraphs>
  <TotalTime>935</TotalTime>
  <ScaleCrop>false</ScaleCrop>
  <LinksUpToDate>false</LinksUpToDate>
  <CharactersWithSpaces>1807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2023-01-13T07:57:00Z</dcterms:created>
  <dc:creator>JW</dc:creator>
  <cp:lastModifiedBy>Administrator</cp:lastModifiedBy>
  <dcterms:modified xsi:type="dcterms:W3CDTF">2024-01-19T00:33:26Z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7ABDD0CDAA6248DF89DFF0D24D93334B_13</vt:lpwstr>
  </property>
</Properties>
</file>