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spacing w:before="156" w:beforeLines="50"/>
        <w:jc w:val="center"/>
        <w:rPr>
          <w:rFonts w:ascii="仿宋_GB2312" w:hAnsi="新宋体" w:eastAsia="仿宋_GB2312" w:cs="Times New Roman"/>
          <w:sz w:val="36"/>
          <w:szCs w:val="36"/>
        </w:rPr>
      </w:pPr>
      <w:r>
        <w:rPr>
          <w:rFonts w:hint="eastAsia" w:ascii="仿宋_GB2312" w:hAnsi="新宋体" w:eastAsia="仿宋_GB2312" w:cs="仿宋_GB2312"/>
          <w:sz w:val="36"/>
          <w:szCs w:val="36"/>
        </w:rPr>
        <w:t>城政〔2025〕</w:t>
      </w:r>
      <w:r>
        <w:rPr>
          <w:rFonts w:hint="eastAsia" w:ascii="仿宋_GB2312" w:hAnsi="新宋体" w:eastAsia="仿宋_GB2312" w:cs="仿宋_GB2312"/>
          <w:sz w:val="36"/>
          <w:szCs w:val="36"/>
          <w:lang w:val="en-US" w:eastAsia="zh-CN"/>
        </w:rPr>
        <w:t>94</w:t>
      </w:r>
      <w:bookmarkStart w:id="0" w:name="_GoBack"/>
      <w:bookmarkEnd w:id="0"/>
      <w:r>
        <w:rPr>
          <w:rFonts w:hint="eastAsia" w:ascii="仿宋_GB2312" w:hAnsi="新宋体" w:eastAsia="仿宋_GB2312" w:cs="仿宋_GB2312"/>
          <w:sz w:val="36"/>
          <w:szCs w:val="36"/>
        </w:rPr>
        <w:t>号</w:t>
      </w:r>
    </w:p>
    <w:p>
      <w:pPr>
        <w:spacing w:after="624" w:afterLines="200" w:line="240" w:lineRule="exact"/>
        <w:jc w:val="center"/>
        <w:rPr>
          <w:rFonts w:ascii="宋体" w:cs="宋体"/>
        </w:rPr>
      </w:pPr>
    </w:p>
    <w:p>
      <w:pPr>
        <w:spacing w:line="64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关于安溪县城南片区12-A-02~05地块控制性详细规划的公示</w:t>
      </w:r>
    </w:p>
    <w:p>
      <w:pPr>
        <w:widowControl/>
        <w:ind w:firstLine="648" w:firstLineChars="200"/>
        <w:jc w:val="left"/>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为科学合理指导城南片区12-A-02、03、04及05地块的开发建设，我镇委托上海开艺设计集团有限公司</w:t>
      </w:r>
      <w:r>
        <w:rPr>
          <w:rFonts w:hint="eastAsia" w:ascii="仿宋_GB2312" w:hAnsi="仿宋_GB2312" w:eastAsia="仿宋_GB2312" w:cs="仿宋_GB2312"/>
          <w:sz w:val="32"/>
          <w:szCs w:val="32"/>
          <w:shd w:val="clear" w:color="auto" w:fill="FFFFFF"/>
        </w:rPr>
        <w:t>开展</w:t>
      </w:r>
      <w:r>
        <w:rPr>
          <w:rFonts w:hint="eastAsia" w:ascii="仿宋_GB2312" w:hAnsi="仿宋_GB2312" w:eastAsia="仿宋_GB2312" w:cs="仿宋_GB2312"/>
          <w:spacing w:val="2"/>
          <w:sz w:val="32"/>
          <w:szCs w:val="32"/>
        </w:rPr>
        <w:t>《安溪县城南片区12-A-02～05地块控制性详细规划》编制工作。在《安溪县国土空间总体规划</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2021</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2035年</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》和《安溪县城南（建安、路英、南坪）片区控制性详细规划》</w:t>
      </w:r>
      <w:r>
        <w:rPr>
          <w:rFonts w:hint="eastAsia" w:ascii="仿宋_GB2312" w:hAnsi="仿宋_GB2312" w:eastAsia="仿宋_GB2312" w:cs="仿宋_GB2312"/>
          <w:sz w:val="32"/>
          <w:szCs w:val="32"/>
        </w:rPr>
        <w:t>的指导下，</w:t>
      </w:r>
      <w:r>
        <w:rPr>
          <w:rFonts w:hint="eastAsia" w:ascii="仿宋_GB2312" w:hAnsi="仿宋_GB2312" w:eastAsia="仿宋_GB2312" w:cs="仿宋_GB2312"/>
          <w:spacing w:val="2"/>
          <w:sz w:val="32"/>
          <w:szCs w:val="32"/>
        </w:rPr>
        <w:t>项目组通过实地勘查、资料收集、分析梳理，并对接相关上位规划控制要求，统筹安排规划范围内的土地使用和各项城市功能，对国土空间用途管制和城市建设提供指导和依据，并于2025年5月</w:t>
      </w:r>
      <w:r>
        <w:rPr>
          <w:rFonts w:ascii="仿宋_GB2312" w:hAnsi="仿宋_GB2312" w:eastAsia="仿宋_GB2312" w:cs="仿宋_GB2312"/>
          <w:spacing w:val="2"/>
          <w:sz w:val="32"/>
          <w:szCs w:val="32"/>
        </w:rPr>
        <w:t>1</w:t>
      </w:r>
      <w:r>
        <w:rPr>
          <w:rFonts w:hint="eastAsia" w:ascii="仿宋_GB2312" w:hAnsi="仿宋_GB2312" w:eastAsia="仿宋_GB2312" w:cs="仿宋_GB2312"/>
          <w:spacing w:val="2"/>
          <w:sz w:val="32"/>
          <w:szCs w:val="32"/>
        </w:rPr>
        <w:t>6日通过安溪县自然资源局组织的技术评审会。经过完善，已形成报批成果。现将该报批成果内容予以公示：</w:t>
      </w:r>
    </w:p>
    <w:p>
      <w:pPr>
        <w:spacing w:line="560" w:lineRule="exact"/>
        <w:ind w:firstLine="537" w:firstLineChars="166"/>
        <w:rPr>
          <w:rFonts w:ascii="仿宋_GB2312" w:hAnsi="仿宋_GB2312" w:eastAsia="仿宋_GB2312" w:cs="仿宋_GB2312"/>
          <w:spacing w:val="2"/>
          <w:sz w:val="32"/>
          <w:szCs w:val="32"/>
        </w:rPr>
      </w:pPr>
    </w:p>
    <w:p>
      <w:pPr>
        <w:spacing w:line="560" w:lineRule="exact"/>
        <w:ind w:firstLine="537" w:firstLineChars="166"/>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一、公示时间：2025</w:t>
      </w:r>
      <w:r>
        <w:rPr>
          <w:rFonts w:hint="eastAsia" w:ascii="仿宋_GB2312" w:hAnsi="仿宋_GB2312" w:eastAsia="仿宋_GB2312" w:cs="仿宋_GB2312"/>
          <w:color w:val="auto"/>
          <w:spacing w:val="2"/>
          <w:sz w:val="32"/>
          <w:szCs w:val="32"/>
        </w:rPr>
        <w:t>年12月</w:t>
      </w:r>
      <w:r>
        <w:rPr>
          <w:rFonts w:hint="eastAsia" w:ascii="仿宋_GB2312" w:hAnsi="仿宋_GB2312" w:eastAsia="仿宋_GB2312" w:cs="仿宋_GB2312"/>
          <w:color w:val="auto"/>
          <w:spacing w:val="2"/>
          <w:sz w:val="32"/>
          <w:szCs w:val="32"/>
          <w:lang w:val="en-US" w:eastAsia="zh-CN"/>
        </w:rPr>
        <w:t>16</w:t>
      </w:r>
      <w:r>
        <w:rPr>
          <w:rFonts w:hint="eastAsia" w:ascii="仿宋_GB2312" w:hAnsi="仿宋_GB2312" w:eastAsia="仿宋_GB2312" w:cs="仿宋_GB2312"/>
          <w:color w:val="auto"/>
          <w:spacing w:val="2"/>
          <w:sz w:val="32"/>
          <w:szCs w:val="32"/>
        </w:rPr>
        <w:t>日至2026年1月</w:t>
      </w:r>
      <w:r>
        <w:rPr>
          <w:rFonts w:hint="eastAsia" w:ascii="仿宋_GB2312" w:hAnsi="仿宋_GB2312" w:eastAsia="仿宋_GB2312" w:cs="仿宋_GB2312"/>
          <w:color w:val="auto"/>
          <w:spacing w:val="2"/>
          <w:sz w:val="32"/>
          <w:szCs w:val="32"/>
          <w:lang w:val="en-US" w:eastAsia="zh-CN"/>
        </w:rPr>
        <w:t>14</w:t>
      </w:r>
      <w:r>
        <w:rPr>
          <w:rFonts w:hint="eastAsia" w:ascii="仿宋_GB2312" w:hAnsi="仿宋_GB2312" w:eastAsia="仿宋_GB2312" w:cs="仿宋_GB2312"/>
          <w:color w:val="auto"/>
          <w:spacing w:val="2"/>
          <w:sz w:val="32"/>
          <w:szCs w:val="32"/>
        </w:rPr>
        <w:t>日</w:t>
      </w:r>
    </w:p>
    <w:p>
      <w:pPr>
        <w:spacing w:line="560" w:lineRule="exact"/>
        <w:ind w:firstLine="537" w:firstLineChars="166"/>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二、公示地点：安溪县城厢镇党务政务公示栏</w:t>
      </w:r>
    </w:p>
    <w:p>
      <w:pPr>
        <w:spacing w:line="560" w:lineRule="exact"/>
        <w:ind w:firstLine="537" w:firstLineChars="166"/>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公示网址：</w:t>
      </w:r>
      <w:r>
        <w:fldChar w:fldCharType="begin"/>
      </w:r>
      <w:r>
        <w:instrText xml:space="preserve"> HYPERLINK "http://www.fjax.gov.cn/" </w:instrText>
      </w:r>
      <w:r>
        <w:fldChar w:fldCharType="separate"/>
      </w:r>
      <w:r>
        <w:rPr>
          <w:rFonts w:hint="eastAsia" w:ascii="仿宋_GB2312" w:hAnsi="仿宋_GB2312" w:eastAsia="仿宋_GB2312" w:cs="仿宋_GB2312"/>
          <w:spacing w:val="2"/>
          <w:sz w:val="32"/>
          <w:szCs w:val="32"/>
        </w:rPr>
        <w:t>http://www.fjax.gov.cn/</w:t>
      </w:r>
      <w:r>
        <w:rPr>
          <w:rFonts w:hint="eastAsia" w:ascii="仿宋_GB2312" w:hAnsi="仿宋_GB2312" w:eastAsia="仿宋_GB2312" w:cs="仿宋_GB2312"/>
          <w:spacing w:val="2"/>
          <w:sz w:val="32"/>
          <w:szCs w:val="32"/>
        </w:rPr>
        <w:fldChar w:fldCharType="end"/>
      </w:r>
    </w:p>
    <w:p>
      <w:pPr>
        <w:spacing w:line="560" w:lineRule="exact"/>
        <w:ind w:firstLine="537" w:firstLineChars="166"/>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 xml:space="preserve">联 系 人：张女士       </w:t>
      </w:r>
    </w:p>
    <w:p>
      <w:pPr>
        <w:spacing w:line="560" w:lineRule="exact"/>
        <w:ind w:firstLine="537" w:firstLineChars="166"/>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电    话：0595-23232248</w:t>
      </w:r>
    </w:p>
    <w:p>
      <w:pPr>
        <w:spacing w:line="560" w:lineRule="exact"/>
        <w:ind w:firstLine="537" w:firstLineChars="166"/>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传    真：0595-23256729</w:t>
      </w:r>
    </w:p>
    <w:p>
      <w:pPr>
        <w:spacing w:line="560" w:lineRule="exact"/>
        <w:ind w:firstLine="537" w:firstLineChars="166"/>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电子邮箱：axxcxzxmb@126.com</w:t>
      </w:r>
    </w:p>
    <w:p>
      <w:pPr>
        <w:spacing w:line="560" w:lineRule="exact"/>
        <w:ind w:firstLine="537" w:firstLineChars="166"/>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通信地址：安溪县</w:t>
      </w:r>
      <w:r>
        <w:rPr>
          <w:rFonts w:hint="eastAsia" w:ascii="仿宋_GB2312" w:hAnsi="仿宋_GB2312" w:eastAsia="仿宋_GB2312" w:cs="仿宋_GB2312"/>
          <w:spacing w:val="2"/>
          <w:sz w:val="32"/>
          <w:szCs w:val="32"/>
          <w:lang w:eastAsia="zh-CN"/>
        </w:rPr>
        <w:t>城厢</w:t>
      </w:r>
      <w:r>
        <w:rPr>
          <w:rFonts w:hint="eastAsia" w:ascii="仿宋_GB2312" w:hAnsi="仿宋_GB2312" w:eastAsia="仿宋_GB2312" w:cs="仿宋_GB2312"/>
          <w:spacing w:val="2"/>
          <w:sz w:val="32"/>
          <w:szCs w:val="32"/>
        </w:rPr>
        <w:t>镇人民政府服务大厅，邮编：362400</w:t>
      </w:r>
    </w:p>
    <w:p>
      <w:pPr>
        <w:widowControl/>
        <w:ind w:firstLine="648" w:firstLineChars="200"/>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社会各界群众及单位如对该修建性详细规划提出意见和看法，请在公示期内以书面方式或电子邮件形式进行反馈，逾期视为同意。我镇将于规划公示30天后，依法履行相关规划审批手续。</w:t>
      </w:r>
    </w:p>
    <w:p>
      <w:pPr>
        <w:spacing w:line="560" w:lineRule="exact"/>
        <w:ind w:firstLine="699" w:firstLineChars="216"/>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注：反馈意见应注明真实联系人姓名、联系电话、联系地址。</w:t>
      </w:r>
    </w:p>
    <w:p>
      <w:pPr>
        <w:spacing w:line="560" w:lineRule="exact"/>
        <w:ind w:firstLine="699" w:firstLineChars="216"/>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附件：《安溪县城南片区12-A-02～05地块控制性详细规划》的主要内容及规划图纸</w:t>
      </w:r>
    </w:p>
    <w:p>
      <w:pPr>
        <w:spacing w:line="560" w:lineRule="exact"/>
        <w:ind w:firstLine="537" w:firstLineChars="166"/>
        <w:rPr>
          <w:rFonts w:ascii="仿宋_GB2312" w:eastAsia="仿宋_GB2312" w:cs="Times New Roman"/>
          <w:spacing w:val="2"/>
          <w:sz w:val="32"/>
          <w:szCs w:val="32"/>
        </w:rPr>
      </w:pPr>
    </w:p>
    <w:p>
      <w:pPr>
        <w:spacing w:line="560" w:lineRule="exact"/>
        <w:ind w:firstLine="537" w:firstLineChars="166"/>
        <w:rPr>
          <w:rFonts w:ascii="仿宋_GB2312" w:eastAsia="仿宋_GB2312" w:cs="Times New Roman"/>
          <w:spacing w:val="2"/>
          <w:sz w:val="32"/>
          <w:szCs w:val="32"/>
        </w:rPr>
      </w:pPr>
    </w:p>
    <w:p>
      <w:pPr>
        <w:spacing w:line="560" w:lineRule="exact"/>
        <w:ind w:firstLine="537" w:firstLineChars="166"/>
        <w:rPr>
          <w:rFonts w:ascii="仿宋_GB2312" w:eastAsia="仿宋_GB2312" w:cs="Times New Roman"/>
          <w:spacing w:val="2"/>
          <w:sz w:val="32"/>
          <w:szCs w:val="32"/>
        </w:rPr>
      </w:pPr>
    </w:p>
    <w:p>
      <w:pPr>
        <w:spacing w:line="560" w:lineRule="exact"/>
        <w:ind w:right="204" w:rightChars="97" w:firstLine="537" w:firstLineChars="166"/>
        <w:jc w:val="center"/>
        <w:rPr>
          <w:rFonts w:ascii="仿宋_GB2312" w:eastAsia="仿宋_GB2312" w:cs="Times New Roman"/>
          <w:spacing w:val="2"/>
          <w:sz w:val="32"/>
          <w:szCs w:val="32"/>
        </w:rPr>
      </w:pPr>
      <w:r>
        <w:rPr>
          <w:rFonts w:hint="eastAsia" w:ascii="仿宋_GB2312" w:eastAsia="仿宋_GB2312" w:cs="仿宋_GB2312"/>
          <w:spacing w:val="2"/>
          <w:sz w:val="32"/>
          <w:szCs w:val="32"/>
        </w:rPr>
        <w:t xml:space="preserve">                          安溪县</w:t>
      </w:r>
      <w:r>
        <w:rPr>
          <w:rFonts w:hint="eastAsia" w:ascii="仿宋_GB2312" w:eastAsia="仿宋_GB2312" w:cs="仿宋_GB2312"/>
          <w:spacing w:val="2"/>
          <w:sz w:val="32"/>
          <w:szCs w:val="32"/>
          <w:lang w:eastAsia="zh-CN"/>
        </w:rPr>
        <w:t>城厢</w:t>
      </w:r>
      <w:r>
        <w:rPr>
          <w:rFonts w:hint="eastAsia" w:ascii="仿宋_GB2312" w:eastAsia="仿宋_GB2312" w:cs="仿宋_GB2312"/>
          <w:spacing w:val="2"/>
          <w:sz w:val="32"/>
          <w:szCs w:val="32"/>
        </w:rPr>
        <w:t>镇人民政府</w:t>
      </w:r>
    </w:p>
    <w:p>
      <w:pPr>
        <w:spacing w:line="560" w:lineRule="exact"/>
        <w:ind w:right="924" w:rightChars="440" w:firstLine="537" w:firstLineChars="166"/>
        <w:jc w:val="right"/>
        <w:rPr>
          <w:rFonts w:ascii="仿宋_GB2312" w:eastAsia="仿宋_GB2312" w:cs="仿宋_GB2312"/>
          <w:spacing w:val="2"/>
          <w:sz w:val="32"/>
          <w:szCs w:val="32"/>
        </w:rPr>
      </w:pPr>
      <w:r>
        <w:rPr>
          <w:rFonts w:hint="eastAsia" w:ascii="仿宋_GB2312" w:eastAsia="仿宋_GB2312" w:cs="仿宋_GB2312"/>
          <w:spacing w:val="2"/>
          <w:sz w:val="32"/>
          <w:szCs w:val="32"/>
        </w:rPr>
        <w:t>2025年12月</w:t>
      </w:r>
      <w:r>
        <w:rPr>
          <w:rFonts w:hint="eastAsia" w:ascii="仿宋_GB2312" w:eastAsia="仿宋_GB2312" w:cs="仿宋_GB2312"/>
          <w:spacing w:val="2"/>
          <w:sz w:val="32"/>
          <w:szCs w:val="32"/>
          <w:lang w:val="en-US" w:eastAsia="zh-CN"/>
        </w:rPr>
        <w:t>16</w:t>
      </w:r>
      <w:r>
        <w:rPr>
          <w:rFonts w:hint="eastAsia" w:ascii="仿宋_GB2312" w:eastAsia="仿宋_GB2312" w:cs="仿宋_GB2312"/>
          <w:spacing w:val="2"/>
          <w:sz w:val="32"/>
          <w:szCs w:val="32"/>
        </w:rPr>
        <w:t>日</w:t>
      </w:r>
    </w:p>
    <w:p>
      <w:pPr>
        <w:spacing w:line="560" w:lineRule="exact"/>
        <w:ind w:right="924" w:rightChars="440" w:firstLine="537" w:firstLineChars="166"/>
        <w:rPr>
          <w:rFonts w:ascii="仿宋_GB2312" w:eastAsia="仿宋_GB2312" w:cs="仿宋_GB2312"/>
          <w:spacing w:val="2"/>
          <w:sz w:val="32"/>
          <w:szCs w:val="32"/>
        </w:rPr>
      </w:pPr>
      <w:r>
        <w:rPr>
          <w:rFonts w:hint="eastAsia" w:ascii="仿宋_GB2312" w:eastAsia="仿宋_GB2312" w:cs="仿宋_GB2312"/>
          <w:spacing w:val="2"/>
          <w:sz w:val="32"/>
          <w:szCs w:val="32"/>
        </w:rPr>
        <w:t>（此件公开发布）</w:t>
      </w:r>
    </w:p>
    <w:p>
      <w:pPr>
        <w:spacing w:line="560" w:lineRule="exact"/>
        <w:jc w:val="left"/>
        <w:rPr>
          <w:rFonts w:ascii="黑体" w:hAnsi="黑体" w:eastAsia="黑体" w:cs="黑体"/>
          <w:spacing w:val="2"/>
          <w:sz w:val="32"/>
          <w:szCs w:val="32"/>
        </w:rPr>
      </w:pPr>
      <w:r>
        <w:rPr>
          <w:rFonts w:hint="eastAsia" w:ascii="黑体" w:hAnsi="黑体" w:eastAsia="黑体" w:cs="黑体"/>
          <w:spacing w:val="2"/>
          <w:sz w:val="32"/>
          <w:szCs w:val="32"/>
        </w:rPr>
        <w:t>附件</w:t>
      </w:r>
    </w:p>
    <w:p>
      <w:pPr>
        <w:spacing w:line="560" w:lineRule="exact"/>
        <w:jc w:val="center"/>
        <w:rPr>
          <w:rFonts w:ascii="方正小标宋简体" w:hAnsi="方正小标宋简体" w:eastAsia="方正小标宋简体" w:cs="方正小标宋简体"/>
          <w:spacing w:val="2"/>
          <w:sz w:val="44"/>
          <w:szCs w:val="44"/>
        </w:rPr>
      </w:pPr>
      <w:r>
        <w:rPr>
          <w:rFonts w:hint="eastAsia" w:ascii="方正小标宋简体" w:hAnsi="方正小标宋简体" w:eastAsia="方正小标宋简体" w:cs="方正小标宋简体"/>
          <w:spacing w:val="2"/>
          <w:sz w:val="44"/>
          <w:szCs w:val="44"/>
        </w:rPr>
        <w:t>安溪县城南片区12-A-02~05地块控制性</w:t>
      </w:r>
    </w:p>
    <w:p>
      <w:pPr>
        <w:spacing w:line="560" w:lineRule="exact"/>
        <w:jc w:val="center"/>
        <w:rPr>
          <w:rFonts w:ascii="方正小标宋简体" w:hAnsi="方正小标宋简体" w:eastAsia="方正小标宋简体" w:cs="方正小标宋简体"/>
          <w:spacing w:val="2"/>
          <w:sz w:val="44"/>
          <w:szCs w:val="44"/>
        </w:rPr>
      </w:pPr>
      <w:r>
        <w:rPr>
          <w:rFonts w:hint="eastAsia" w:ascii="方正小标宋简体" w:hAnsi="方正小标宋简体" w:eastAsia="方正小标宋简体" w:cs="方正小标宋简体"/>
          <w:spacing w:val="2"/>
          <w:sz w:val="44"/>
          <w:szCs w:val="44"/>
        </w:rPr>
        <w:t>详细规划</w:t>
      </w:r>
    </w:p>
    <w:p>
      <w:pPr>
        <w:spacing w:line="560" w:lineRule="exact"/>
        <w:ind w:firstLine="537" w:firstLineChars="166"/>
        <w:rPr>
          <w:rFonts w:ascii="黑体" w:hAnsi="黑体" w:eastAsia="黑体" w:cs="黑体"/>
          <w:spacing w:val="2"/>
          <w:sz w:val="32"/>
          <w:szCs w:val="32"/>
        </w:rPr>
      </w:pPr>
      <w:r>
        <w:rPr>
          <w:rFonts w:hint="eastAsia" w:ascii="黑体" w:hAnsi="黑体" w:eastAsia="黑体" w:cs="黑体"/>
          <w:spacing w:val="2"/>
          <w:sz w:val="32"/>
          <w:szCs w:val="32"/>
        </w:rPr>
        <w:t>一、规划范围</w:t>
      </w:r>
    </w:p>
    <w:p>
      <w:pPr>
        <w:pStyle w:val="14"/>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本地块位于安溪县城厢镇城南片区，永安路东侧、河滨南路南侧。本规划区规划范围东至漳泉肖铁路，西至永安路，南至恒兴路，北至河滨南路。规划范围总用地面积约为</w:t>
      </w:r>
      <w:r>
        <w:rPr>
          <w:rFonts w:ascii="仿宋_GB2312" w:hAnsi="仿宋_GB2312" w:eastAsia="仿宋_GB2312" w:cs="仿宋_GB2312"/>
          <w:color w:val="auto"/>
          <w:sz w:val="32"/>
          <w:szCs w:val="32"/>
          <w:shd w:val="clear" w:color="auto" w:fill="FFFFFF"/>
          <w:lang w:bidi="ar"/>
        </w:rPr>
        <w:t>45215</w:t>
      </w:r>
      <w:r>
        <w:rPr>
          <w:rFonts w:hint="eastAsia" w:ascii="仿宋_GB2312" w:hAnsi="仿宋_GB2312" w:eastAsia="仿宋_GB2312" w:cs="仿宋_GB2312"/>
          <w:color w:val="auto"/>
          <w:sz w:val="32"/>
          <w:szCs w:val="32"/>
          <w:shd w:val="clear" w:color="auto" w:fill="FFFFFF"/>
          <w:lang w:bidi="ar"/>
        </w:rPr>
        <w:t>㎡（约6</w:t>
      </w:r>
      <w:r>
        <w:rPr>
          <w:rFonts w:ascii="仿宋_GB2312" w:hAnsi="仿宋_GB2312" w:eastAsia="仿宋_GB2312" w:cs="仿宋_GB2312"/>
          <w:color w:val="auto"/>
          <w:sz w:val="32"/>
          <w:szCs w:val="32"/>
          <w:shd w:val="clear" w:color="auto" w:fill="FFFFFF"/>
          <w:lang w:bidi="ar"/>
        </w:rPr>
        <w:t>7.82</w:t>
      </w:r>
      <w:r>
        <w:rPr>
          <w:rFonts w:hint="eastAsia" w:ascii="仿宋_GB2312" w:hAnsi="仿宋_GB2312" w:eastAsia="仿宋_GB2312" w:cs="仿宋_GB2312"/>
          <w:color w:val="auto"/>
          <w:sz w:val="32"/>
          <w:szCs w:val="32"/>
          <w:shd w:val="clear" w:color="auto" w:fill="FFFFFF"/>
          <w:lang w:bidi="ar"/>
        </w:rPr>
        <w:t>亩），包含12-A-02地块面积约</w:t>
      </w:r>
      <w:r>
        <w:rPr>
          <w:rFonts w:ascii="仿宋_GB2312" w:hAnsi="仿宋_GB2312" w:eastAsia="仿宋_GB2312" w:cs="仿宋_GB2312"/>
          <w:color w:val="auto"/>
          <w:sz w:val="32"/>
          <w:szCs w:val="32"/>
          <w:shd w:val="clear" w:color="auto" w:fill="FFFFFF"/>
          <w:lang w:bidi="ar"/>
        </w:rPr>
        <w:t>7663</w:t>
      </w:r>
      <w:r>
        <w:rPr>
          <w:rFonts w:hint="eastAsia" w:ascii="仿宋_GB2312" w:hAnsi="仿宋_GB2312" w:eastAsia="仿宋_GB2312" w:cs="仿宋_GB2312"/>
          <w:color w:val="auto"/>
          <w:sz w:val="32"/>
          <w:szCs w:val="32"/>
          <w:shd w:val="clear" w:color="auto" w:fill="FFFFFF"/>
          <w:lang w:bidi="ar"/>
        </w:rPr>
        <w:t>㎡、12-A-03地块面积约114</w:t>
      </w:r>
      <w:r>
        <w:rPr>
          <w:rFonts w:ascii="仿宋_GB2312" w:hAnsi="仿宋_GB2312" w:eastAsia="仿宋_GB2312" w:cs="仿宋_GB2312"/>
          <w:color w:val="auto"/>
          <w:sz w:val="32"/>
          <w:szCs w:val="32"/>
          <w:shd w:val="clear" w:color="auto" w:fill="FFFFFF"/>
          <w:lang w:bidi="ar"/>
        </w:rPr>
        <w:t>56</w:t>
      </w:r>
      <w:r>
        <w:rPr>
          <w:rFonts w:hint="eastAsia" w:ascii="仿宋_GB2312" w:hAnsi="仿宋_GB2312" w:eastAsia="仿宋_GB2312" w:cs="仿宋_GB2312"/>
          <w:color w:val="auto"/>
          <w:sz w:val="32"/>
          <w:szCs w:val="32"/>
          <w:shd w:val="clear" w:color="auto" w:fill="FFFFFF"/>
          <w:lang w:bidi="ar"/>
        </w:rPr>
        <w:t>㎡、12-A-04地块面积约2651㎡、12-A-05地块面积约85</w:t>
      </w:r>
      <w:r>
        <w:rPr>
          <w:rFonts w:ascii="仿宋_GB2312" w:hAnsi="仿宋_GB2312" w:eastAsia="仿宋_GB2312" w:cs="仿宋_GB2312"/>
          <w:color w:val="auto"/>
          <w:sz w:val="32"/>
          <w:szCs w:val="32"/>
          <w:shd w:val="clear" w:color="auto" w:fill="FFFFFF"/>
          <w:lang w:bidi="ar"/>
        </w:rPr>
        <w:t>66</w:t>
      </w:r>
      <w:r>
        <w:rPr>
          <w:rFonts w:hint="eastAsia" w:ascii="仿宋_GB2312" w:hAnsi="仿宋_GB2312" w:eastAsia="仿宋_GB2312" w:cs="仿宋_GB2312"/>
          <w:color w:val="auto"/>
          <w:sz w:val="32"/>
          <w:szCs w:val="32"/>
          <w:shd w:val="clear" w:color="auto" w:fill="FFFFFF"/>
          <w:lang w:bidi="ar"/>
        </w:rPr>
        <w:t>㎡，以及规划道路面积约</w:t>
      </w:r>
      <w:r>
        <w:rPr>
          <w:rFonts w:ascii="仿宋_GB2312" w:hAnsi="仿宋_GB2312" w:eastAsia="仿宋_GB2312" w:cs="仿宋_GB2312"/>
          <w:color w:val="auto"/>
          <w:sz w:val="32"/>
          <w:szCs w:val="32"/>
          <w:shd w:val="clear" w:color="auto" w:fill="FFFFFF"/>
          <w:lang w:bidi="ar"/>
        </w:rPr>
        <w:t>14879</w:t>
      </w:r>
      <w:r>
        <w:rPr>
          <w:rFonts w:hint="eastAsia" w:ascii="仿宋_GB2312" w:hAnsi="仿宋_GB2312" w:eastAsia="仿宋_GB2312" w:cs="仿宋_GB2312"/>
          <w:color w:val="auto"/>
          <w:sz w:val="32"/>
          <w:szCs w:val="32"/>
          <w:shd w:val="clear" w:color="auto" w:fill="FFFFFF"/>
          <w:lang w:bidi="ar"/>
        </w:rPr>
        <w:t>㎡。</w:t>
      </w:r>
    </w:p>
    <w:p>
      <w:pPr>
        <w:spacing w:line="560" w:lineRule="exact"/>
        <w:ind w:firstLine="537" w:firstLineChars="166"/>
        <w:rPr>
          <w:rFonts w:ascii="黑体" w:hAnsi="黑体" w:eastAsia="黑体" w:cs="黑体"/>
          <w:spacing w:val="2"/>
          <w:sz w:val="32"/>
          <w:szCs w:val="32"/>
        </w:rPr>
      </w:pPr>
      <w:r>
        <w:rPr>
          <w:rFonts w:hint="eastAsia" w:ascii="黑体" w:hAnsi="黑体" w:eastAsia="黑体" w:cs="黑体"/>
          <w:spacing w:val="2"/>
          <w:sz w:val="32"/>
          <w:szCs w:val="32"/>
        </w:rPr>
        <w:t>二、土地利用规划</w:t>
      </w:r>
    </w:p>
    <w:p>
      <w:pPr>
        <w:pStyle w:val="14"/>
        <w:spacing w:line="600" w:lineRule="exact"/>
        <w:ind w:firstLine="640" w:firstLineChars="200"/>
        <w:jc w:val="both"/>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依据本规划区的功能定位，确定12-A-02地块土地利用性质为商业用地，12-A-03地块</w:t>
      </w:r>
      <w:r>
        <w:rPr>
          <w:rFonts w:ascii="仿宋_GB2312" w:hAnsi="仿宋_GB2312" w:eastAsia="仿宋_GB2312" w:cs="仿宋_GB2312"/>
          <w:color w:val="auto"/>
          <w:sz w:val="32"/>
          <w:szCs w:val="32"/>
          <w:shd w:val="clear" w:color="auto" w:fill="FFFFFF"/>
          <w:lang w:bidi="ar"/>
        </w:rPr>
        <w:t>土地利用性质为商住混合用地</w:t>
      </w:r>
      <w:r>
        <w:rPr>
          <w:rFonts w:hint="eastAsia" w:ascii="仿宋_GB2312" w:hAnsi="仿宋_GB2312" w:eastAsia="仿宋_GB2312" w:cs="仿宋_GB2312"/>
          <w:color w:val="auto"/>
          <w:sz w:val="32"/>
          <w:szCs w:val="32"/>
          <w:shd w:val="clear" w:color="auto" w:fill="FFFFFF"/>
          <w:lang w:eastAsia="zh-CN" w:bidi="ar"/>
        </w:rPr>
        <w:t>，</w:t>
      </w:r>
      <w:r>
        <w:rPr>
          <w:rFonts w:ascii="仿宋_GB2312" w:hAnsi="仿宋_GB2312" w:eastAsia="仿宋_GB2312" w:cs="仿宋_GB2312"/>
          <w:color w:val="auto"/>
          <w:sz w:val="32"/>
          <w:szCs w:val="32"/>
          <w:shd w:val="clear" w:color="auto" w:fill="FFFFFF"/>
          <w:lang w:bidi="ar"/>
        </w:rPr>
        <w:t>12-A-04地块土地利用性质为防护绿地，12-A-05地块土地利用性质为二类城镇住宅用地。</w:t>
      </w:r>
    </w:p>
    <w:p>
      <w:pPr>
        <w:spacing w:line="560" w:lineRule="exact"/>
        <w:ind w:firstLine="537" w:firstLineChars="166"/>
        <w:rPr>
          <w:rFonts w:ascii="黑体" w:hAnsi="黑体" w:eastAsia="黑体" w:cs="黑体"/>
          <w:spacing w:val="2"/>
          <w:sz w:val="32"/>
          <w:szCs w:val="32"/>
        </w:rPr>
      </w:pPr>
      <w:r>
        <w:rPr>
          <w:rFonts w:hint="eastAsia" w:ascii="黑体" w:hAnsi="黑体" w:eastAsia="黑体" w:cs="黑体"/>
          <w:spacing w:val="2"/>
          <w:sz w:val="32"/>
          <w:szCs w:val="32"/>
        </w:rPr>
        <w:t>三、规划规模</w:t>
      </w:r>
    </w:p>
    <w:p>
      <w:pPr>
        <w:pStyle w:val="14"/>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本次控规总用地面积约4.5</w:t>
      </w:r>
      <w:r>
        <w:rPr>
          <w:rFonts w:ascii="仿宋_GB2312" w:hAnsi="仿宋_GB2312" w:eastAsia="仿宋_GB2312" w:cs="仿宋_GB2312"/>
          <w:color w:val="auto"/>
          <w:sz w:val="32"/>
          <w:szCs w:val="32"/>
          <w:shd w:val="clear" w:color="auto" w:fill="FFFFFF"/>
          <w:lang w:bidi="ar"/>
        </w:rPr>
        <w:t>2</w:t>
      </w:r>
      <w:r>
        <w:rPr>
          <w:rFonts w:hint="eastAsia" w:ascii="仿宋_GB2312" w:hAnsi="仿宋_GB2312" w:eastAsia="仿宋_GB2312" w:cs="仿宋_GB2312"/>
          <w:color w:val="auto"/>
          <w:sz w:val="32"/>
          <w:szCs w:val="32"/>
          <w:shd w:val="clear" w:color="auto" w:fill="FFFFFF"/>
          <w:lang w:bidi="ar"/>
        </w:rPr>
        <w:t>公顷（约6</w:t>
      </w:r>
      <w:r>
        <w:rPr>
          <w:rFonts w:ascii="仿宋_GB2312" w:hAnsi="仿宋_GB2312" w:eastAsia="仿宋_GB2312" w:cs="仿宋_GB2312"/>
          <w:color w:val="auto"/>
          <w:sz w:val="32"/>
          <w:szCs w:val="32"/>
          <w:shd w:val="clear" w:color="auto" w:fill="FFFFFF"/>
          <w:lang w:bidi="ar"/>
        </w:rPr>
        <w:t>7.82</w:t>
      </w:r>
      <w:r>
        <w:rPr>
          <w:rFonts w:hint="eastAsia" w:ascii="仿宋_GB2312" w:hAnsi="仿宋_GB2312" w:eastAsia="仿宋_GB2312" w:cs="仿宋_GB2312"/>
          <w:color w:val="auto"/>
          <w:sz w:val="32"/>
          <w:szCs w:val="32"/>
          <w:shd w:val="clear" w:color="auto" w:fill="FFFFFF"/>
          <w:lang w:bidi="ar"/>
        </w:rPr>
        <w:t>亩），均为城市建设用地。规划区内居住用地占比18.</w:t>
      </w:r>
      <w:r>
        <w:rPr>
          <w:rFonts w:ascii="仿宋_GB2312" w:hAnsi="仿宋_GB2312" w:eastAsia="仿宋_GB2312" w:cs="仿宋_GB2312"/>
          <w:color w:val="auto"/>
          <w:sz w:val="32"/>
          <w:szCs w:val="32"/>
          <w:shd w:val="clear" w:color="auto" w:fill="FFFFFF"/>
          <w:lang w:bidi="ar"/>
        </w:rPr>
        <w:t>95</w:t>
      </w:r>
      <w:r>
        <w:rPr>
          <w:rFonts w:hint="eastAsia" w:ascii="仿宋_GB2312" w:hAnsi="仿宋_GB2312" w:eastAsia="仿宋_GB2312" w:cs="仿宋_GB2312"/>
          <w:color w:val="auto"/>
          <w:sz w:val="32"/>
          <w:szCs w:val="32"/>
          <w:shd w:val="clear" w:color="auto" w:fill="FFFFFF"/>
          <w:lang w:bidi="ar"/>
        </w:rPr>
        <w:t>%，商业服务业用地占比</w:t>
      </w:r>
      <w:r>
        <w:rPr>
          <w:rFonts w:ascii="仿宋_GB2312" w:hAnsi="仿宋_GB2312" w:eastAsia="仿宋_GB2312" w:cs="仿宋_GB2312"/>
          <w:color w:val="auto"/>
          <w:sz w:val="32"/>
          <w:szCs w:val="32"/>
          <w:shd w:val="clear" w:color="auto" w:fill="FFFFFF"/>
          <w:lang w:bidi="ar"/>
        </w:rPr>
        <w:t>16.95</w:t>
      </w:r>
      <w:r>
        <w:rPr>
          <w:rFonts w:hint="eastAsia" w:ascii="仿宋_GB2312" w:hAnsi="仿宋_GB2312" w:eastAsia="仿宋_GB2312" w:cs="仿宋_GB2312"/>
          <w:color w:val="auto"/>
          <w:sz w:val="32"/>
          <w:szCs w:val="32"/>
          <w:shd w:val="clear" w:color="auto" w:fill="FFFFFF"/>
          <w:lang w:bidi="ar"/>
        </w:rPr>
        <w:t>%，商住混合用地占比25.</w:t>
      </w:r>
      <w:r>
        <w:rPr>
          <w:rFonts w:ascii="仿宋_GB2312" w:hAnsi="仿宋_GB2312" w:eastAsia="仿宋_GB2312" w:cs="仿宋_GB2312"/>
          <w:color w:val="auto"/>
          <w:sz w:val="32"/>
          <w:szCs w:val="32"/>
          <w:shd w:val="clear" w:color="auto" w:fill="FFFFFF"/>
          <w:lang w:bidi="ar"/>
        </w:rPr>
        <w:t>34</w:t>
      </w:r>
      <w:r>
        <w:rPr>
          <w:rFonts w:hint="eastAsia" w:ascii="仿宋_GB2312" w:hAnsi="仿宋_GB2312" w:eastAsia="仿宋_GB2312" w:cs="仿宋_GB2312"/>
          <w:color w:val="auto"/>
          <w:sz w:val="32"/>
          <w:szCs w:val="32"/>
          <w:shd w:val="clear" w:color="auto" w:fill="FFFFFF"/>
          <w:lang w:bidi="ar"/>
        </w:rPr>
        <w:t>%，交通运输用地占比3</w:t>
      </w:r>
      <w:r>
        <w:rPr>
          <w:rFonts w:ascii="仿宋_GB2312" w:hAnsi="仿宋_GB2312" w:eastAsia="仿宋_GB2312" w:cs="仿宋_GB2312"/>
          <w:color w:val="auto"/>
          <w:sz w:val="32"/>
          <w:szCs w:val="32"/>
          <w:shd w:val="clear" w:color="auto" w:fill="FFFFFF"/>
          <w:lang w:bidi="ar"/>
        </w:rPr>
        <w:t>2.91</w:t>
      </w:r>
      <w:r>
        <w:rPr>
          <w:rFonts w:hint="eastAsia" w:ascii="仿宋_GB2312" w:hAnsi="仿宋_GB2312" w:eastAsia="仿宋_GB2312" w:cs="仿宋_GB2312"/>
          <w:color w:val="auto"/>
          <w:sz w:val="32"/>
          <w:szCs w:val="32"/>
          <w:shd w:val="clear" w:color="auto" w:fill="FFFFFF"/>
          <w:lang w:bidi="ar"/>
        </w:rPr>
        <w:t>%，绿地与开敞空间用地占比5.8</w:t>
      </w:r>
      <w:r>
        <w:rPr>
          <w:rFonts w:ascii="仿宋_GB2312" w:hAnsi="仿宋_GB2312" w:eastAsia="仿宋_GB2312" w:cs="仿宋_GB2312"/>
          <w:color w:val="auto"/>
          <w:sz w:val="32"/>
          <w:szCs w:val="32"/>
          <w:shd w:val="clear" w:color="auto" w:fill="FFFFFF"/>
          <w:lang w:bidi="ar"/>
        </w:rPr>
        <w:t>6</w:t>
      </w:r>
      <w:r>
        <w:rPr>
          <w:rFonts w:hint="eastAsia" w:ascii="仿宋_GB2312" w:hAnsi="仿宋_GB2312" w:eastAsia="仿宋_GB2312" w:cs="仿宋_GB2312"/>
          <w:color w:val="auto"/>
          <w:sz w:val="32"/>
          <w:szCs w:val="32"/>
          <w:shd w:val="clear" w:color="auto" w:fill="FFFFFF"/>
          <w:lang w:bidi="ar"/>
        </w:rPr>
        <w:t>%。</w:t>
      </w:r>
    </w:p>
    <w:p>
      <w:pPr>
        <w:spacing w:line="560" w:lineRule="exact"/>
        <w:ind w:firstLine="537" w:firstLineChars="166"/>
        <w:rPr>
          <w:rFonts w:ascii="黑体" w:hAnsi="黑体" w:eastAsia="黑体" w:cs="黑体"/>
          <w:spacing w:val="2"/>
          <w:sz w:val="32"/>
          <w:szCs w:val="32"/>
        </w:rPr>
      </w:pPr>
      <w:r>
        <w:rPr>
          <w:rFonts w:hint="eastAsia" w:ascii="黑体" w:hAnsi="黑体" w:eastAsia="黑体" w:cs="黑体"/>
          <w:spacing w:val="2"/>
          <w:sz w:val="32"/>
          <w:szCs w:val="32"/>
        </w:rPr>
        <w:t>四、开发强度指标控制</w:t>
      </w:r>
    </w:p>
    <w:p>
      <w:pPr>
        <w:pStyle w:val="14"/>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本规划提出的地块主要开发强度指标包括容积率、建筑密度、绿地率、建筑限高等。其中，12-A-02地块容积率上限控制为4.5，建筑密度上限控制为35%，绿地率下限控制为20%，建筑限高为80米；12-A-03地块容积率上限控制为3.0（其中居住功能计容建筑面积占总计容建筑面积比例为80%），建筑密度上限控制为35%，绿地率下限控制为30%，建筑限高为80米。12-A-04地块为防护绿地及12-A-05地块为现状保留地块，不作具体指标规定。</w:t>
      </w:r>
    </w:p>
    <w:p>
      <w:pPr>
        <w:spacing w:line="560" w:lineRule="exact"/>
        <w:ind w:firstLine="537" w:firstLineChars="166"/>
        <w:rPr>
          <w:rFonts w:ascii="黑体" w:hAnsi="黑体" w:eastAsia="黑体" w:cs="黑体"/>
          <w:spacing w:val="2"/>
          <w:sz w:val="32"/>
          <w:szCs w:val="32"/>
        </w:rPr>
      </w:pPr>
      <w:r>
        <w:rPr>
          <w:rFonts w:hint="eastAsia" w:ascii="黑体" w:hAnsi="黑体" w:eastAsia="黑体" w:cs="黑体"/>
          <w:spacing w:val="2"/>
          <w:sz w:val="32"/>
          <w:szCs w:val="32"/>
        </w:rPr>
        <w:t>五、道路交通规划</w:t>
      </w:r>
    </w:p>
    <w:p>
      <w:pPr>
        <w:pStyle w:val="14"/>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12-A-02地块机动车主要出入口设置在北侧和南侧，12-A-03地块机动车主要出入口设置在东侧和北侧。地块的出入口设计、消防车道宽度、间距、转弯半径及地块内配建停车位应满足《福建省城市规划管理技术规定</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2017年</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》要求，并结合交通影响评价报告及相关规划要求合理布局建设。</w:t>
      </w:r>
    </w:p>
    <w:p>
      <w:pPr>
        <w:spacing w:line="560" w:lineRule="exact"/>
        <w:ind w:firstLine="537" w:firstLineChars="166"/>
        <w:rPr>
          <w:rFonts w:ascii="黑体" w:hAnsi="黑体" w:eastAsia="黑体" w:cs="黑体"/>
          <w:spacing w:val="2"/>
          <w:sz w:val="32"/>
          <w:szCs w:val="32"/>
        </w:rPr>
      </w:pPr>
      <w:r>
        <w:rPr>
          <w:rFonts w:hint="eastAsia" w:ascii="黑体" w:hAnsi="黑体" w:eastAsia="黑体" w:cs="黑体"/>
          <w:spacing w:val="2"/>
          <w:sz w:val="32"/>
          <w:szCs w:val="32"/>
        </w:rPr>
        <w:t>六、市政工程规划</w:t>
      </w:r>
    </w:p>
    <w:p>
      <w:pPr>
        <w:pStyle w:val="14"/>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规划区内涉及的市政工程规划主要包括：</w:t>
      </w:r>
    </w:p>
    <w:p>
      <w:pPr>
        <w:pStyle w:val="14"/>
        <w:numPr>
          <w:ilvl w:val="0"/>
          <w:numId w:val="1"/>
        </w:numPr>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竖向工程：本地块竖向标高以现状道路的标高为基础，结合场地高程进行确定。</w:t>
      </w:r>
    </w:p>
    <w:p>
      <w:pPr>
        <w:pStyle w:val="14"/>
        <w:numPr>
          <w:ilvl w:val="0"/>
          <w:numId w:val="1"/>
        </w:numPr>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给水工程：规划区由安溪自来水厂和第二水厂联合供水。本规划区由地块区间规划支路及周边市政给水管引出给水支管向地块供水，可以满足地块用水需求。</w:t>
      </w:r>
    </w:p>
    <w:p>
      <w:pPr>
        <w:pStyle w:val="14"/>
        <w:numPr>
          <w:ilvl w:val="0"/>
          <w:numId w:val="1"/>
        </w:numPr>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排水工程：本地块内排水体制采用雨、污分流制。规划地块污水由污水支管分别接入地块区间规划支路规划污水管和周边市政污水管道，最终排入市区市政污水管网。规划地块雨水通过场地及道路排水分区汇入雨水口，经雨水支管接入地块区间规划支路及周边市政雨水管道，最终排入市政雨水管网。</w:t>
      </w:r>
    </w:p>
    <w:p>
      <w:pPr>
        <w:pStyle w:val="14"/>
        <w:numPr>
          <w:ilvl w:val="0"/>
          <w:numId w:val="1"/>
        </w:numPr>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电力工程：本规划区用电由市政10kV电源供电，在地块内各设置1处变配电室，具体接线位置应与用电部门进一步协商。</w:t>
      </w:r>
    </w:p>
    <w:p>
      <w:pPr>
        <w:pStyle w:val="14"/>
        <w:numPr>
          <w:ilvl w:val="0"/>
          <w:numId w:val="1"/>
        </w:numPr>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通信工程：地块内电信业务主要由城区内电信局提供电信服务，广播有线电视主要</w:t>
      </w:r>
      <w:r>
        <w:rPr>
          <w:rFonts w:hint="eastAsia" w:ascii="仿宋_GB2312" w:hAnsi="仿宋_GB2312" w:eastAsia="仿宋_GB2312" w:cs="仿宋_GB2312"/>
          <w:color w:val="auto"/>
          <w:sz w:val="32"/>
          <w:szCs w:val="32"/>
          <w:shd w:val="clear" w:color="auto" w:fill="FFFFFF"/>
          <w:lang w:eastAsia="zh-CN" w:bidi="ar"/>
        </w:rPr>
        <w:t>依托</w:t>
      </w:r>
      <w:r>
        <w:rPr>
          <w:rFonts w:hint="eastAsia" w:ascii="仿宋_GB2312" w:hAnsi="仿宋_GB2312" w:eastAsia="仿宋_GB2312" w:cs="仿宋_GB2312"/>
          <w:color w:val="auto"/>
          <w:sz w:val="32"/>
          <w:szCs w:val="32"/>
          <w:shd w:val="clear" w:color="auto" w:fill="FFFFFF"/>
          <w:lang w:bidi="ar"/>
        </w:rPr>
        <w:t>县广电中心提供服务。</w:t>
      </w:r>
    </w:p>
    <w:p>
      <w:pPr>
        <w:pStyle w:val="14"/>
        <w:numPr>
          <w:ilvl w:val="0"/>
          <w:numId w:val="1"/>
        </w:numPr>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燃气工程：本地块燃气以液化石油气</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LPG</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和天然气</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LNG</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作为气源。</w:t>
      </w:r>
    </w:p>
    <w:p>
      <w:pPr>
        <w:pStyle w:val="14"/>
        <w:numPr>
          <w:ilvl w:val="0"/>
          <w:numId w:val="1"/>
        </w:numPr>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管线综合：管线综合平面布置参考地下管网普查并根据实际情况改造，结合需求设置给水、燃气、通信等管线。各专业管线敷设在平面上各行其位，竖向上满足各专业管线最小覆土及工艺设计要求。</w:t>
      </w:r>
    </w:p>
    <w:p>
      <w:pPr>
        <w:spacing w:line="560" w:lineRule="exact"/>
        <w:ind w:firstLine="537" w:firstLineChars="166"/>
        <w:rPr>
          <w:rFonts w:ascii="黑体" w:hAnsi="黑体" w:eastAsia="黑体" w:cs="黑体"/>
          <w:spacing w:val="2"/>
          <w:sz w:val="32"/>
          <w:szCs w:val="32"/>
        </w:rPr>
      </w:pPr>
      <w:r>
        <w:rPr>
          <w:rFonts w:hint="eastAsia" w:ascii="黑体" w:hAnsi="黑体" w:eastAsia="黑体" w:cs="黑体"/>
          <w:spacing w:val="2"/>
          <w:sz w:val="32"/>
          <w:szCs w:val="32"/>
        </w:rPr>
        <w:t>七、城市设计与景观控制</w:t>
      </w:r>
    </w:p>
    <w:p>
      <w:pPr>
        <w:pStyle w:val="14"/>
        <w:spacing w:line="600" w:lineRule="exact"/>
        <w:ind w:firstLine="640" w:firstLineChars="200"/>
        <w:rPr>
          <w:rFonts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强化建筑景观风貌设计，应体现泉州建筑文化的特点。建筑造型简洁美观，具有地方特色，并与周边环境及整体景观相协调。建筑总平面布局应明确功能分区，合理组织内外交通，结合现状绿化条件适当增加绿化面积，提升环境品质。</w:t>
      </w:r>
    </w:p>
    <w:p>
      <w:pPr>
        <w:pStyle w:val="14"/>
        <w:spacing w:line="600" w:lineRule="exact"/>
        <w:ind w:left="20"/>
        <w:rPr>
          <w:rFonts w:hAnsi="微软雅黑" w:cs="宋体"/>
          <w:color w:val="auto"/>
          <w:sz w:val="22"/>
          <w:szCs w:val="22"/>
          <w:shd w:val="clear" w:color="auto" w:fill="FFFFFF"/>
          <w:lang w:bidi="ar"/>
        </w:rPr>
      </w:pPr>
    </w:p>
    <w:p>
      <w:pPr>
        <w:pStyle w:val="14"/>
        <w:spacing w:line="600" w:lineRule="exact"/>
        <w:ind w:left="20"/>
        <w:jc w:val="center"/>
        <w:rPr>
          <w:rFonts w:ascii="仿宋_GB2312" w:hAnsi="仿宋_GB2312" w:eastAsia="仿宋_GB2312" w:cs="仿宋_GB2312"/>
          <w:color w:val="FF0000"/>
          <w:spacing w:val="2"/>
          <w:sz w:val="44"/>
          <w:szCs w:val="44"/>
        </w:rPr>
      </w:pPr>
    </w:p>
    <w:sectPr>
      <w:footerReference r:id="rId3" w:type="default"/>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宋体" w:cs="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- 9 -</w:t>
    </w:r>
    <w:r>
      <w:rPr>
        <w:rStyle w:val="9"/>
        <w:rFonts w:ascii="宋体" w:hAnsi="宋体" w:cs="宋体"/>
        <w:sz w:val="28"/>
        <w:szCs w:val="28"/>
      </w:rPr>
      <w:fldChar w:fldCharType="end"/>
    </w:r>
  </w:p>
  <w:p>
    <w:pPr>
      <w:pStyle w:val="3"/>
      <w:ind w:right="360" w:firstLine="360"/>
      <w:rPr>
        <w:rFonts w:cs="Times New Roman"/>
      </w:rPr>
    </w:pPr>
  </w:p>
  <w:p>
    <w:pPr>
      <w:pStyle w:val="3"/>
      <w:ind w:right="360" w:firstLine="360"/>
      <w:rPr>
        <w:rFonts w:cs="Times New Roman"/>
      </w:rPr>
    </w:pPr>
  </w:p>
  <w:p>
    <w:pPr>
      <w:pStyle w:val="3"/>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C4A94"/>
    <w:multiLevelType w:val="singleLevel"/>
    <w:tmpl w:val="360C4A94"/>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lOGRjYTY2MjQxYmU0Y2UwMDJmNjQ3NDQ4YjE4MGQifQ=="/>
  </w:docVars>
  <w:rsids>
    <w:rsidRoot w:val="087951F1"/>
    <w:rsid w:val="000034E7"/>
    <w:rsid w:val="00014C8E"/>
    <w:rsid w:val="00017D36"/>
    <w:rsid w:val="00021D3A"/>
    <w:rsid w:val="0004244B"/>
    <w:rsid w:val="000C4A44"/>
    <w:rsid w:val="000D6B7D"/>
    <w:rsid w:val="001436DE"/>
    <w:rsid w:val="00144598"/>
    <w:rsid w:val="0014673A"/>
    <w:rsid w:val="001609BF"/>
    <w:rsid w:val="00176DF9"/>
    <w:rsid w:val="00196DF4"/>
    <w:rsid w:val="00201E0B"/>
    <w:rsid w:val="00281FD5"/>
    <w:rsid w:val="00320637"/>
    <w:rsid w:val="00374F92"/>
    <w:rsid w:val="003E7294"/>
    <w:rsid w:val="0044303D"/>
    <w:rsid w:val="004A0BBD"/>
    <w:rsid w:val="004F23DA"/>
    <w:rsid w:val="0051341B"/>
    <w:rsid w:val="00563ECD"/>
    <w:rsid w:val="005811B0"/>
    <w:rsid w:val="005A1AEA"/>
    <w:rsid w:val="005A2B98"/>
    <w:rsid w:val="005B700B"/>
    <w:rsid w:val="006327C2"/>
    <w:rsid w:val="00661FED"/>
    <w:rsid w:val="006C64C1"/>
    <w:rsid w:val="006E730B"/>
    <w:rsid w:val="00706ECF"/>
    <w:rsid w:val="007350F8"/>
    <w:rsid w:val="00781B02"/>
    <w:rsid w:val="00793FF4"/>
    <w:rsid w:val="007A6E6B"/>
    <w:rsid w:val="00854AC6"/>
    <w:rsid w:val="008E54F8"/>
    <w:rsid w:val="00912883"/>
    <w:rsid w:val="00931359"/>
    <w:rsid w:val="009359D1"/>
    <w:rsid w:val="00973702"/>
    <w:rsid w:val="0099012D"/>
    <w:rsid w:val="00A2245E"/>
    <w:rsid w:val="00A64298"/>
    <w:rsid w:val="00A853EA"/>
    <w:rsid w:val="00AA02BB"/>
    <w:rsid w:val="00AA7442"/>
    <w:rsid w:val="00AF2BBA"/>
    <w:rsid w:val="00AF50C5"/>
    <w:rsid w:val="00B4142F"/>
    <w:rsid w:val="00B7468C"/>
    <w:rsid w:val="00BE6629"/>
    <w:rsid w:val="00C01A6E"/>
    <w:rsid w:val="00C047B7"/>
    <w:rsid w:val="00C15063"/>
    <w:rsid w:val="00C7712D"/>
    <w:rsid w:val="00C93FEF"/>
    <w:rsid w:val="00D45E39"/>
    <w:rsid w:val="00D93759"/>
    <w:rsid w:val="00DA2B55"/>
    <w:rsid w:val="00DB1F57"/>
    <w:rsid w:val="00DE5796"/>
    <w:rsid w:val="00E46B62"/>
    <w:rsid w:val="00E86F5B"/>
    <w:rsid w:val="00EA4E77"/>
    <w:rsid w:val="00ED0A9E"/>
    <w:rsid w:val="00F010CF"/>
    <w:rsid w:val="00F071E4"/>
    <w:rsid w:val="00F250EC"/>
    <w:rsid w:val="00F31183"/>
    <w:rsid w:val="00F4379A"/>
    <w:rsid w:val="00F651D8"/>
    <w:rsid w:val="00F86F43"/>
    <w:rsid w:val="00FF4FFA"/>
    <w:rsid w:val="03E077FE"/>
    <w:rsid w:val="04E76896"/>
    <w:rsid w:val="04EA4674"/>
    <w:rsid w:val="087951F1"/>
    <w:rsid w:val="0A9C7190"/>
    <w:rsid w:val="0B164697"/>
    <w:rsid w:val="155208F4"/>
    <w:rsid w:val="178A3DF0"/>
    <w:rsid w:val="22D92223"/>
    <w:rsid w:val="25530DD6"/>
    <w:rsid w:val="2A6761A0"/>
    <w:rsid w:val="30C542F1"/>
    <w:rsid w:val="32247823"/>
    <w:rsid w:val="32606C76"/>
    <w:rsid w:val="37895E3C"/>
    <w:rsid w:val="3C0F313B"/>
    <w:rsid w:val="3ECB5403"/>
    <w:rsid w:val="3FE07A5D"/>
    <w:rsid w:val="414C3A28"/>
    <w:rsid w:val="42480736"/>
    <w:rsid w:val="42566FEF"/>
    <w:rsid w:val="430A0307"/>
    <w:rsid w:val="4345676C"/>
    <w:rsid w:val="4569538A"/>
    <w:rsid w:val="4571741E"/>
    <w:rsid w:val="481F7D71"/>
    <w:rsid w:val="4BB04667"/>
    <w:rsid w:val="4C8F5135"/>
    <w:rsid w:val="4D387EA1"/>
    <w:rsid w:val="4ED20D23"/>
    <w:rsid w:val="54875097"/>
    <w:rsid w:val="551C775D"/>
    <w:rsid w:val="57B53D8D"/>
    <w:rsid w:val="5855720E"/>
    <w:rsid w:val="60CB260D"/>
    <w:rsid w:val="6149205B"/>
    <w:rsid w:val="62AA2D31"/>
    <w:rsid w:val="65657F51"/>
    <w:rsid w:val="66F6233F"/>
    <w:rsid w:val="693C3991"/>
    <w:rsid w:val="6FC913BD"/>
    <w:rsid w:val="701D4627"/>
    <w:rsid w:val="71A2758F"/>
    <w:rsid w:val="71D05F49"/>
    <w:rsid w:val="71D63EB1"/>
    <w:rsid w:val="738C0FF4"/>
    <w:rsid w:val="7C532F58"/>
    <w:rsid w:val="7E246CF1"/>
    <w:rsid w:val="7F3C3A86"/>
    <w:rsid w:val="FFC3CC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character" w:customStyle="1" w:styleId="11">
    <w:name w:val="页脚 字符"/>
    <w:basedOn w:val="8"/>
    <w:link w:val="3"/>
    <w:semiHidden/>
    <w:qFormat/>
    <w:locked/>
    <w:uiPriority w:val="99"/>
    <w:rPr>
      <w:rFonts w:cs="Calibri"/>
      <w:sz w:val="18"/>
      <w:szCs w:val="18"/>
    </w:rPr>
  </w:style>
  <w:style w:type="character" w:customStyle="1" w:styleId="12">
    <w:name w:val="页眉 字符"/>
    <w:basedOn w:val="8"/>
    <w:link w:val="4"/>
    <w:semiHidden/>
    <w:qFormat/>
    <w:locked/>
    <w:uiPriority w:val="99"/>
    <w:rPr>
      <w:rFonts w:cs="Calibri"/>
      <w:sz w:val="18"/>
      <w:szCs w:val="18"/>
    </w:rPr>
  </w:style>
  <w:style w:type="character" w:customStyle="1" w:styleId="13">
    <w:name w:val="日期 字符"/>
    <w:basedOn w:val="8"/>
    <w:link w:val="2"/>
    <w:semiHidden/>
    <w:qFormat/>
    <w:uiPriority w:val="99"/>
    <w:rPr>
      <w:rFonts w:ascii="Calibri" w:hAnsi="Calibri" w:cs="Calibri"/>
      <w:kern w:val="2"/>
      <w:sz w:val="21"/>
      <w:szCs w:val="21"/>
    </w:rPr>
  </w:style>
  <w:style w:type="paragraph" w:customStyle="1" w:styleId="1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1789</Words>
  <Characters>2091</Characters>
  <Lines>15</Lines>
  <Paragraphs>4</Paragraphs>
  <TotalTime>32</TotalTime>
  <ScaleCrop>false</ScaleCrop>
  <LinksUpToDate>false</LinksUpToDate>
  <CharactersWithSpaces>2136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2024-01-23T15:55:00Z</dcterms:created>
  <dc:creator>Administrator</dc:creator>
  <cp:lastModifiedBy>user</cp:lastModifiedBy>
  <cp:lastPrinted>2025-12-12T17:19:00Z</cp:lastPrinted>
  <dcterms:modified xsi:type="dcterms:W3CDTF">2025-12-16T15:23:37Z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11BEC1C8550749D4BE6CF665DDACAA61_13</vt:lpwstr>
  </property>
  <property fmtid="{D5CDD505-2E9C-101B-9397-08002B2CF9AE}" pid="4" name="KSOTemplateDocerSaveRecord">
    <vt:lpwstr>eyJoZGlkIjoiYzRmMWRhMzMzZDlhMTc0ZGZjMWYzNzE2ZTM0MjQ3ZjUiLCJ1c2VySWQiOiIxOTY1MTE5NTQifQ==</vt:lpwstr>
  </property>
</Properties>
</file>