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420" w:firstLineChars="0"/>
        <w:jc w:val="center"/>
        <w:rPr>
          <w:rFonts w:ascii="方正小标宋简体" w:hAnsi="方正小标宋简体" w:eastAsia="方正小标宋简体" w:cs="Times New Roman"/>
          <w:color w:val="000000"/>
          <w:kern w:val="0"/>
          <w:sz w:val="44"/>
          <w:szCs w:val="44"/>
          <w:shd w:val="clear" w:color="auto" w:fill="FFFFFF"/>
        </w:rPr>
      </w:pPr>
      <w:r>
        <w:rPr>
          <w:rFonts w:hint="eastAsia" w:ascii="方正小标宋简体" w:hAnsi="方正小标宋简体" w:eastAsia="方正小标宋简体" w:cs="方正小标宋简体"/>
          <w:color w:val="000000"/>
          <w:kern w:val="0"/>
          <w:sz w:val="44"/>
          <w:szCs w:val="44"/>
          <w:shd w:val="clear" w:color="auto" w:fill="FFFFFF"/>
        </w:rPr>
        <w:t>安溪县</w:t>
      </w:r>
      <w:r>
        <w:rPr>
          <w:rFonts w:hint="eastAsia" w:ascii="方正小标宋简体" w:hAnsi="方正小标宋简体" w:eastAsia="方正小标宋简体" w:cs="方正小标宋简体"/>
          <w:color w:val="000000"/>
          <w:kern w:val="0"/>
          <w:sz w:val="44"/>
          <w:szCs w:val="44"/>
          <w:shd w:val="clear" w:color="auto" w:fill="FFFFFF"/>
          <w:lang w:val="en-US" w:eastAsia="zh-CN"/>
        </w:rPr>
        <w:t>凤城镇人民政府</w:t>
      </w:r>
      <w:r>
        <w:rPr>
          <w:rFonts w:ascii="方正小标宋简体" w:hAnsi="方正小标宋简体" w:eastAsia="方正小标宋简体" w:cs="方正小标宋简体"/>
          <w:color w:val="000000"/>
          <w:kern w:val="0"/>
          <w:sz w:val="44"/>
          <w:szCs w:val="44"/>
          <w:shd w:val="clear" w:color="auto" w:fill="FFFFFF"/>
        </w:rPr>
        <w:t>202</w:t>
      </w:r>
      <w:r>
        <w:rPr>
          <w:rFonts w:hint="eastAsia" w:ascii="方正小标宋简体" w:hAnsi="方正小标宋简体" w:eastAsia="方正小标宋简体" w:cs="方正小标宋简体"/>
          <w:color w:val="000000"/>
          <w:kern w:val="0"/>
          <w:sz w:val="44"/>
          <w:szCs w:val="44"/>
          <w:shd w:val="clear" w:color="auto" w:fill="FFFFFF"/>
          <w:lang w:val="en-US" w:eastAsia="zh-CN"/>
        </w:rPr>
        <w:t>3</w:t>
      </w:r>
      <w:r>
        <w:rPr>
          <w:rFonts w:hint="eastAsia" w:ascii="方正小标宋简体" w:hAnsi="方正小标宋简体" w:eastAsia="方正小标宋简体" w:cs="方正小标宋简体"/>
          <w:color w:val="000000"/>
          <w:kern w:val="0"/>
          <w:sz w:val="44"/>
          <w:szCs w:val="44"/>
          <w:shd w:val="clear" w:color="auto" w:fill="FFFFFF"/>
        </w:rPr>
        <w:t>年</w:t>
      </w:r>
    </w:p>
    <w:p>
      <w:pPr>
        <w:widowControl/>
        <w:spacing w:line="600" w:lineRule="exact"/>
        <w:jc w:val="center"/>
        <w:rPr>
          <w:rFonts w:ascii="方正小标宋简体" w:hAnsi="方正小标宋简体" w:eastAsia="方正小标宋简体" w:cs="Times New Roman"/>
          <w:color w:val="000000"/>
          <w:kern w:val="0"/>
          <w:sz w:val="44"/>
          <w:szCs w:val="44"/>
          <w:shd w:val="clear" w:color="auto" w:fill="FFFFFF"/>
        </w:rPr>
      </w:pPr>
      <w:r>
        <w:rPr>
          <w:rFonts w:hint="eastAsia" w:ascii="方正小标宋简体" w:hAnsi="方正小标宋简体" w:eastAsia="方正小标宋简体" w:cs="方正小标宋简体"/>
          <w:color w:val="000000"/>
          <w:kern w:val="0"/>
          <w:sz w:val="44"/>
          <w:szCs w:val="44"/>
          <w:shd w:val="clear" w:color="auto" w:fill="FFFFFF"/>
        </w:rPr>
        <w:t>政府信息公开工作年度报告</w:t>
      </w:r>
    </w:p>
    <w:p>
      <w:pPr>
        <w:widowControl/>
        <w:spacing w:line="600" w:lineRule="exact"/>
        <w:jc w:val="center"/>
        <w:rPr>
          <w:rFonts w:ascii="方正小标宋简体" w:hAnsi="方正小标宋简体" w:eastAsia="方正小标宋简体" w:cs="Times New Roman"/>
          <w:color w:val="000000"/>
          <w:kern w:val="0"/>
          <w:sz w:val="44"/>
          <w:szCs w:val="44"/>
          <w:shd w:val="clear" w:color="auto" w:fill="FFFFFF"/>
        </w:rPr>
      </w:pPr>
    </w:p>
    <w:p>
      <w:pPr>
        <w:widowControl/>
        <w:jc w:val="left"/>
        <w:rPr>
          <w:rFonts w:ascii="宋体" w:cs="Times New Roman"/>
          <w:color w:val="000000"/>
          <w:kern w:val="0"/>
          <w:sz w:val="24"/>
          <w:szCs w:val="24"/>
          <w:shd w:val="clear" w:color="auto" w:fill="FFFFFF"/>
        </w:rPr>
      </w:pPr>
    </w:p>
    <w:p>
      <w:pPr>
        <w:widowControl/>
        <w:spacing w:line="560" w:lineRule="exact"/>
        <w:ind w:firstLine="640" w:firstLineChars="200"/>
        <w:jc w:val="left"/>
        <w:rPr>
          <w:rFonts w:cs="Times New Roman"/>
        </w:rPr>
      </w:pPr>
      <w:r>
        <w:rPr>
          <w:rFonts w:hint="eastAsia" w:ascii="仿宋_GB2312" w:hAnsi="宋体" w:eastAsia="仿宋_GB2312" w:cs="仿宋_GB2312"/>
          <w:color w:val="000000"/>
          <w:kern w:val="0"/>
          <w:sz w:val="32"/>
          <w:szCs w:val="32"/>
        </w:rPr>
        <w:t>根据《中华人民共和国政府信息公开条例》（国务院令第</w:t>
      </w:r>
      <w:r>
        <w:rPr>
          <w:rFonts w:ascii="仿宋_GB2312" w:hAnsi="宋体" w:eastAsia="仿宋_GB2312" w:cs="仿宋_GB2312"/>
          <w:color w:val="000000"/>
          <w:kern w:val="0"/>
          <w:sz w:val="32"/>
          <w:szCs w:val="32"/>
        </w:rPr>
        <w:t>711</w:t>
      </w:r>
      <w:r>
        <w:rPr>
          <w:rFonts w:hint="eastAsia" w:ascii="仿宋_GB2312" w:hAnsi="宋体" w:eastAsia="仿宋_GB2312" w:cs="仿宋_GB2312"/>
          <w:color w:val="000000"/>
          <w:kern w:val="0"/>
          <w:sz w:val="32"/>
          <w:szCs w:val="32"/>
        </w:rPr>
        <w:t>号）</w:t>
      </w:r>
      <w:r>
        <w:rPr>
          <w:rFonts w:hint="eastAsia" w:ascii="仿宋_GB2312" w:hAnsi="宋体" w:eastAsia="仿宋_GB2312" w:cs="仿宋_GB2312"/>
          <w:color w:val="000000"/>
          <w:kern w:val="0"/>
          <w:sz w:val="32"/>
          <w:szCs w:val="32"/>
          <w:lang w:eastAsia="zh-CN"/>
        </w:rPr>
        <w:t>、国务院办公厅、福建省政府办公厅、泉州市政府办公室、</w:t>
      </w:r>
      <w:r>
        <w:rPr>
          <w:rFonts w:hint="eastAsia" w:ascii="仿宋_GB2312" w:hAnsi="宋体" w:eastAsia="仿宋_GB2312" w:cs="仿宋_GB2312"/>
          <w:color w:val="000000"/>
          <w:kern w:val="0"/>
          <w:sz w:val="32"/>
          <w:szCs w:val="32"/>
          <w:lang w:val="en-US" w:eastAsia="zh-CN"/>
        </w:rPr>
        <w:t>安溪县政府办公室</w:t>
      </w:r>
      <w:r>
        <w:rPr>
          <w:rFonts w:hint="eastAsia" w:ascii="仿宋_GB2312" w:hAnsi="宋体" w:eastAsia="仿宋_GB2312" w:cs="仿宋_GB2312"/>
          <w:color w:val="000000"/>
          <w:kern w:val="0"/>
          <w:sz w:val="32"/>
          <w:szCs w:val="32"/>
          <w:lang w:eastAsia="zh-CN"/>
        </w:rPr>
        <w:t>关于政府信息公开工作</w:t>
      </w:r>
      <w:r>
        <w:rPr>
          <w:rFonts w:hint="eastAsia" w:ascii="仿宋_GB2312" w:hAnsi="宋体" w:eastAsia="仿宋_GB2312" w:cs="仿宋_GB2312"/>
          <w:color w:val="000000"/>
          <w:kern w:val="0"/>
          <w:sz w:val="32"/>
          <w:szCs w:val="32"/>
        </w:rPr>
        <w:t>等要求，特编制并向社会公布安溪县</w:t>
      </w:r>
      <w:r>
        <w:rPr>
          <w:rFonts w:hint="eastAsia" w:ascii="仿宋_GB2312" w:hAnsi="宋体" w:eastAsia="仿宋_GB2312" w:cs="仿宋_GB2312"/>
          <w:color w:val="000000"/>
          <w:kern w:val="0"/>
          <w:sz w:val="32"/>
          <w:szCs w:val="32"/>
          <w:lang w:val="en-US" w:eastAsia="zh-CN"/>
        </w:rPr>
        <w:t>凤城镇人民政府</w:t>
      </w:r>
      <w:r>
        <w:rPr>
          <w:rFonts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lang w:val="en-US" w:eastAsia="zh-CN"/>
        </w:rPr>
        <w:t>3</w:t>
      </w:r>
      <w:r>
        <w:rPr>
          <w:rFonts w:hint="eastAsia" w:ascii="仿宋_GB2312" w:hAnsi="宋体" w:eastAsia="仿宋_GB2312" w:cs="仿宋_GB2312"/>
          <w:color w:val="000000"/>
          <w:kern w:val="0"/>
          <w:sz w:val="32"/>
          <w:szCs w:val="32"/>
        </w:rPr>
        <w:t>年政府信息公开工作年度报告。本报告由总体情况，主动公开政府信息的情况，收到和处理政府信息公开申请情况，政府信息公开行政复议、行政诉讼情况，存在的主要问题及改进情况，其他需要报告的事项等六部分组成。本年报中所列数据的统计期限自</w:t>
      </w:r>
      <w:r>
        <w:rPr>
          <w:rFonts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lang w:val="en-US" w:eastAsia="zh-CN"/>
        </w:rPr>
        <w:t>3</w:t>
      </w:r>
      <w:r>
        <w:rPr>
          <w:rFonts w:hint="eastAsia" w:ascii="仿宋_GB2312" w:hAnsi="宋体" w:eastAsia="仿宋_GB2312" w:cs="仿宋_GB2312"/>
          <w:color w:val="000000"/>
          <w:kern w:val="0"/>
          <w:sz w:val="32"/>
          <w:szCs w:val="32"/>
        </w:rPr>
        <w:t>年</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月</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日起至</w:t>
      </w:r>
      <w:r>
        <w:rPr>
          <w:rFonts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lang w:val="en-US" w:eastAsia="zh-CN"/>
        </w:rPr>
        <w:t>3</w:t>
      </w:r>
      <w:r>
        <w:rPr>
          <w:rFonts w:hint="eastAsia" w:ascii="仿宋_GB2312" w:hAnsi="宋体" w:eastAsia="仿宋_GB2312" w:cs="仿宋_GB2312"/>
          <w:color w:val="000000"/>
          <w:kern w:val="0"/>
          <w:sz w:val="32"/>
          <w:szCs w:val="32"/>
        </w:rPr>
        <w:t>年</w:t>
      </w:r>
      <w:r>
        <w:rPr>
          <w:rFonts w:ascii="仿宋_GB2312" w:hAnsi="宋体" w:eastAsia="仿宋_GB2312" w:cs="仿宋_GB2312"/>
          <w:color w:val="000000"/>
          <w:kern w:val="0"/>
          <w:sz w:val="32"/>
          <w:szCs w:val="32"/>
        </w:rPr>
        <w:t>12</w:t>
      </w:r>
      <w:r>
        <w:rPr>
          <w:rFonts w:hint="eastAsia" w:ascii="仿宋_GB2312" w:hAnsi="宋体" w:eastAsia="仿宋_GB2312" w:cs="仿宋_GB2312"/>
          <w:color w:val="000000"/>
          <w:kern w:val="0"/>
          <w:sz w:val="32"/>
          <w:szCs w:val="32"/>
        </w:rPr>
        <w:t>月</w:t>
      </w:r>
      <w:r>
        <w:rPr>
          <w:rFonts w:ascii="仿宋_GB2312" w:hAnsi="宋体" w:eastAsia="仿宋_GB2312" w:cs="仿宋_GB2312"/>
          <w:color w:val="000000"/>
          <w:kern w:val="0"/>
          <w:sz w:val="32"/>
          <w:szCs w:val="32"/>
        </w:rPr>
        <w:t>31</w:t>
      </w:r>
      <w:r>
        <w:rPr>
          <w:rFonts w:hint="eastAsia" w:ascii="仿宋_GB2312" w:hAnsi="宋体" w:eastAsia="仿宋_GB2312" w:cs="仿宋_GB2312"/>
          <w:color w:val="000000"/>
          <w:kern w:val="0"/>
          <w:sz w:val="32"/>
          <w:szCs w:val="32"/>
        </w:rPr>
        <w:t>日止。本年报电子版可在“</w:t>
      </w:r>
      <w:r>
        <w:rPr>
          <w:rFonts w:hint="eastAsia" w:ascii="仿宋_GB2312" w:hAnsi="宋体" w:eastAsia="仿宋_GB2312" w:cs="仿宋_GB2312"/>
          <w:color w:val="000000"/>
          <w:kern w:val="0"/>
          <w:sz w:val="32"/>
          <w:szCs w:val="32"/>
          <w:lang w:val="en-US" w:eastAsia="zh-CN"/>
        </w:rPr>
        <w:t>凤城镇人民政府政务门户网站</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http://www.fjax.gov.cn/zwgk/zfxxgkzl/xzzfxxgk/fcz/</w:t>
      </w:r>
      <w:r>
        <w:rPr>
          <w:rFonts w:hint="eastAsia" w:ascii="仿宋_GB2312" w:hAnsi="宋体" w:eastAsia="仿宋_GB2312" w:cs="仿宋_GB2312"/>
          <w:color w:val="000000"/>
          <w:kern w:val="0"/>
          <w:sz w:val="32"/>
          <w:szCs w:val="32"/>
        </w:rPr>
        <w:t>）下载。</w:t>
      </w:r>
      <w:r>
        <w:rPr>
          <w:rFonts w:hint="eastAsia" w:ascii="仿宋_GB2312" w:hAnsi="宋体" w:eastAsia="仿宋_GB2312" w:cs="仿宋_GB2312"/>
          <w:color w:val="000000"/>
          <w:kern w:val="0"/>
          <w:sz w:val="32"/>
          <w:szCs w:val="32"/>
          <w:lang w:val="en-US" w:eastAsia="zh-CN"/>
        </w:rPr>
        <w:t>如对本报告有任何疑问，请与凤城镇人民政府联系（地址：凤城镇新华路394号，邮编：362400，电话：23232023，电子邮箱：</w:t>
      </w:r>
      <w:r>
        <w:rPr>
          <w:rFonts w:hint="eastAsia" w:ascii="仿宋_GB2312" w:hAnsi="宋体" w:eastAsia="仿宋_GB2312" w:cs="仿宋_GB2312"/>
          <w:color w:val="000000"/>
          <w:kern w:val="0"/>
          <w:sz w:val="32"/>
          <w:szCs w:val="32"/>
          <w:lang w:val="en-US" w:eastAsia="zh-CN"/>
        </w:rPr>
        <w:fldChar w:fldCharType="begin"/>
      </w:r>
      <w:r>
        <w:rPr>
          <w:rFonts w:hint="eastAsia" w:ascii="仿宋_GB2312" w:hAnsi="宋体" w:eastAsia="仿宋_GB2312" w:cs="仿宋_GB2312"/>
          <w:color w:val="000000"/>
          <w:kern w:val="0"/>
          <w:sz w:val="32"/>
          <w:szCs w:val="32"/>
          <w:lang w:val="en-US" w:eastAsia="zh-CN"/>
        </w:rPr>
        <w:instrText xml:space="preserve"> HYPERLINK "mailto:fc23232023@126.com）。" </w:instrText>
      </w:r>
      <w:r>
        <w:rPr>
          <w:rFonts w:hint="eastAsia" w:ascii="仿宋_GB2312" w:hAnsi="宋体" w:eastAsia="仿宋_GB2312" w:cs="仿宋_GB2312"/>
          <w:color w:val="000000"/>
          <w:kern w:val="0"/>
          <w:sz w:val="32"/>
          <w:szCs w:val="32"/>
          <w:lang w:val="en-US" w:eastAsia="zh-CN"/>
        </w:rPr>
        <w:fldChar w:fldCharType="separate"/>
      </w:r>
      <w:r>
        <w:rPr>
          <w:rFonts w:hint="eastAsia" w:ascii="仿宋_GB2312" w:hAnsi="宋体" w:eastAsia="仿宋_GB2312" w:cs="仿宋_GB2312"/>
          <w:color w:val="000000"/>
          <w:kern w:val="0"/>
          <w:sz w:val="32"/>
          <w:szCs w:val="32"/>
          <w:lang w:val="en-US" w:eastAsia="zh-CN"/>
        </w:rPr>
        <w:t>fcz23260900@163.com）。</w:t>
      </w:r>
      <w:r>
        <w:rPr>
          <w:rFonts w:hint="eastAsia" w:ascii="仿宋_GB2312" w:hAnsi="宋体" w:eastAsia="仿宋_GB2312" w:cs="仿宋_GB2312"/>
          <w:color w:val="000000"/>
          <w:kern w:val="0"/>
          <w:sz w:val="32"/>
          <w:szCs w:val="32"/>
          <w:lang w:val="en-US" w:eastAsia="zh-CN"/>
        </w:rPr>
        <w:fldChar w:fldCharType="end"/>
      </w:r>
    </w:p>
    <w:p>
      <w:pPr>
        <w:widowControl/>
        <w:spacing w:line="560" w:lineRule="exact"/>
        <w:ind w:firstLine="640"/>
        <w:jc w:val="left"/>
        <w:rPr>
          <w:rFonts w:ascii="宋体" w:cs="Times New Roman"/>
          <w:color w:val="000000"/>
          <w:sz w:val="24"/>
          <w:szCs w:val="24"/>
        </w:rPr>
      </w:pPr>
      <w:r>
        <w:rPr>
          <w:rFonts w:hint="eastAsia" w:ascii="黑体" w:hAnsi="宋体" w:eastAsia="黑体" w:cs="黑体"/>
          <w:color w:val="000000"/>
          <w:kern w:val="0"/>
          <w:sz w:val="32"/>
          <w:szCs w:val="32"/>
        </w:rPr>
        <w:t>一、总体情况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2023年，我镇按照省、市、县关于政务公开的工作部署，围绕县委、县政府总体要求，不断细化落实县委、县政府有关政策部署，创新公开方式、完善公开机制、强化公开意识、突出公开重点，推进凤城镇信息公开，进一步提高了政府工作的公信力和透明度。</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仿宋_GB2312"/>
          <w:color w:val="000000"/>
          <w:kern w:val="0"/>
          <w:sz w:val="32"/>
          <w:szCs w:val="32"/>
          <w:lang w:val="en-US" w:eastAsia="zh-CN"/>
        </w:rPr>
      </w:pPr>
      <w:r>
        <w:rPr>
          <w:rFonts w:hint="eastAsia" w:ascii="楷体_GB2312" w:hAnsi="宋体" w:eastAsia="楷体_GB2312" w:cs="楷体_GB2312"/>
          <w:b/>
          <w:bCs/>
          <w:color w:val="000000"/>
          <w:kern w:val="0"/>
          <w:sz w:val="32"/>
          <w:szCs w:val="32"/>
          <w:lang w:val="en-US" w:eastAsia="zh-CN"/>
        </w:rPr>
        <w:t>（一）做好主动公开。</w:t>
      </w:r>
      <w:r>
        <w:rPr>
          <w:rFonts w:hint="eastAsia" w:ascii="仿宋_GB2312" w:hAnsi="宋体" w:eastAsia="仿宋_GB2312" w:cs="仿宋_GB2312"/>
          <w:color w:val="000000"/>
          <w:kern w:val="0"/>
          <w:sz w:val="32"/>
          <w:szCs w:val="32"/>
          <w:lang w:val="en-US" w:eastAsia="zh-CN"/>
        </w:rPr>
        <w:t>我镇积极做好政务信息公开工作，坚持“公开为常态、不公开为例外”的原则，妥善处理公开与保密的关系，及时公开乡镇政府信息。2023年，安溪县凤城镇人民政府主动公开政府信息7条，全文电子化率100%，及时完整地主动公开，做到“应公开尽公开、应上网尽上网”。</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仿宋_GB2312"/>
          <w:color w:val="000000"/>
          <w:kern w:val="0"/>
          <w:sz w:val="32"/>
          <w:szCs w:val="32"/>
        </w:rPr>
      </w:pPr>
      <w:r>
        <w:rPr>
          <w:rFonts w:hint="eastAsia" w:ascii="楷体_GB2312" w:hAnsi="宋体" w:eastAsia="楷体_GB2312" w:cs="楷体_GB2312"/>
          <w:b/>
          <w:bCs/>
          <w:color w:val="000000"/>
          <w:kern w:val="0"/>
          <w:sz w:val="32"/>
          <w:szCs w:val="32"/>
          <w:lang w:val="en-US" w:eastAsia="zh-CN"/>
        </w:rPr>
        <w:t>（二）加强组织领导。</w:t>
      </w:r>
      <w:r>
        <w:rPr>
          <w:rFonts w:hint="eastAsia" w:ascii="仿宋_GB2312" w:hAnsi="宋体" w:eastAsia="仿宋_GB2312" w:cs="仿宋_GB2312"/>
          <w:color w:val="000000"/>
          <w:kern w:val="0"/>
          <w:sz w:val="32"/>
          <w:szCs w:val="32"/>
          <w:lang w:val="en-US" w:eastAsia="zh-CN"/>
        </w:rPr>
        <w:t>对我镇成立的凤城镇人民政府信息公开领导小组结构进行优化，</w:t>
      </w:r>
      <w:r>
        <w:rPr>
          <w:rFonts w:hint="eastAsia" w:ascii="仿宋_GB2312" w:hAnsi="宋体" w:eastAsia="仿宋_GB2312" w:cs="仿宋_GB2312"/>
          <w:color w:val="000000"/>
          <w:kern w:val="0"/>
          <w:sz w:val="32"/>
          <w:szCs w:val="32"/>
        </w:rPr>
        <w:t>由</w:t>
      </w:r>
      <w:r>
        <w:rPr>
          <w:rFonts w:hint="eastAsia" w:ascii="仿宋_GB2312" w:hAnsi="宋体" w:eastAsia="仿宋_GB2312" w:cs="仿宋_GB2312"/>
          <w:color w:val="000000"/>
          <w:kern w:val="0"/>
          <w:sz w:val="32"/>
          <w:szCs w:val="32"/>
          <w:lang w:val="en-US" w:eastAsia="zh-CN"/>
        </w:rPr>
        <w:t>镇</w:t>
      </w:r>
      <w:r>
        <w:rPr>
          <w:rFonts w:hint="eastAsia" w:ascii="仿宋_GB2312" w:hAnsi="宋体" w:eastAsia="仿宋_GB2312" w:cs="仿宋_GB2312"/>
          <w:color w:val="000000"/>
          <w:kern w:val="0"/>
          <w:sz w:val="32"/>
          <w:szCs w:val="32"/>
        </w:rPr>
        <w:t>党委副书记、镇长任组长，</w:t>
      </w:r>
      <w:r>
        <w:rPr>
          <w:rFonts w:hint="eastAsia" w:ascii="仿宋_GB2312" w:hAnsi="宋体" w:eastAsia="仿宋_GB2312" w:cs="仿宋_GB2312"/>
          <w:color w:val="000000"/>
          <w:kern w:val="0"/>
          <w:sz w:val="32"/>
          <w:szCs w:val="32"/>
          <w:lang w:val="en-US" w:eastAsia="zh-CN"/>
        </w:rPr>
        <w:t>镇党委秘书</w:t>
      </w:r>
      <w:r>
        <w:rPr>
          <w:rFonts w:hint="eastAsia" w:ascii="仿宋_GB2312" w:hAnsi="宋体" w:eastAsia="仿宋_GB2312" w:cs="仿宋_GB2312"/>
          <w:color w:val="000000"/>
          <w:kern w:val="0"/>
          <w:sz w:val="32"/>
          <w:szCs w:val="32"/>
        </w:rPr>
        <w:t>任副组长，</w:t>
      </w:r>
      <w:r>
        <w:rPr>
          <w:rFonts w:hint="eastAsia" w:ascii="仿宋_GB2312" w:hAnsi="宋体" w:eastAsia="仿宋_GB2312" w:cs="仿宋_GB2312"/>
          <w:color w:val="000000"/>
          <w:kern w:val="0"/>
          <w:sz w:val="32"/>
          <w:szCs w:val="32"/>
          <w:lang w:val="en-US" w:eastAsia="zh-CN"/>
        </w:rPr>
        <w:t>配备</w:t>
      </w:r>
      <w:r>
        <w:rPr>
          <w:rFonts w:hint="eastAsia" w:ascii="仿宋_GB2312" w:hAnsi="宋体" w:eastAsia="仿宋_GB2312" w:cs="仿宋_GB2312"/>
          <w:color w:val="000000"/>
          <w:kern w:val="0"/>
          <w:sz w:val="32"/>
          <w:szCs w:val="32"/>
        </w:rPr>
        <w:t>1名专职人员具体负责日常事务，形成主要领导负总责、分管领导组织协调、责任部门具体牵头、成员科室（单位）密切配合的工作格局</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确保信息公开工作有序运行。</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仿宋_GB2312"/>
          <w:color w:val="000000"/>
          <w:kern w:val="0"/>
          <w:sz w:val="32"/>
          <w:szCs w:val="32"/>
          <w:lang w:val="en-US" w:eastAsia="zh-CN"/>
        </w:rPr>
      </w:pPr>
      <w:r>
        <w:rPr>
          <w:rFonts w:hint="eastAsia" w:ascii="楷体_GB2312" w:hAnsi="宋体" w:eastAsia="楷体_GB2312" w:cs="楷体_GB2312"/>
          <w:b/>
          <w:bCs/>
          <w:color w:val="000000"/>
          <w:kern w:val="0"/>
          <w:sz w:val="32"/>
          <w:szCs w:val="32"/>
          <w:lang w:val="en-US" w:eastAsia="zh-CN"/>
        </w:rPr>
        <w:t>（三）回应社会关切。</w:t>
      </w:r>
      <w:r>
        <w:rPr>
          <w:rFonts w:hint="eastAsia" w:ascii="仿宋_GB2312" w:hAnsi="宋体" w:eastAsia="仿宋_GB2312" w:cs="仿宋_GB2312"/>
          <w:color w:val="000000"/>
          <w:kern w:val="0"/>
          <w:sz w:val="32"/>
          <w:szCs w:val="32"/>
          <w:lang w:val="en-US" w:eastAsia="zh-CN"/>
        </w:rPr>
        <w:t>我镇严格执行政府信息公开条例，强化重点领域信息公开，做好民生领域的信息公开，主动、及时、准确公开财政预算决算、重大建设项目批准和实施、社会公益事业建设等领域的政府信息；</w:t>
      </w:r>
      <w:r>
        <w:rPr>
          <w:rFonts w:hint="eastAsia" w:ascii="仿宋_GB2312" w:hAnsi="宋体" w:eastAsia="仿宋_GB2312" w:cs="仿宋_GB2312"/>
          <w:color w:val="000000"/>
          <w:kern w:val="0"/>
          <w:sz w:val="32"/>
          <w:szCs w:val="32"/>
        </w:rPr>
        <w:t>对社会关注度高的相关政策</w:t>
      </w:r>
      <w:r>
        <w:rPr>
          <w:rFonts w:hint="eastAsia" w:ascii="仿宋_GB2312" w:hAnsi="宋体" w:eastAsia="仿宋_GB2312" w:cs="仿宋_GB2312"/>
          <w:color w:val="000000"/>
          <w:kern w:val="0"/>
          <w:sz w:val="32"/>
          <w:szCs w:val="32"/>
          <w:lang w:val="en-US" w:eastAsia="zh-CN"/>
        </w:rPr>
        <w:t>做好</w:t>
      </w:r>
      <w:r>
        <w:rPr>
          <w:rFonts w:hint="eastAsia" w:ascii="仿宋_GB2312" w:hAnsi="宋体" w:eastAsia="仿宋_GB2312" w:cs="仿宋_GB2312"/>
          <w:color w:val="000000"/>
          <w:kern w:val="0"/>
          <w:sz w:val="32"/>
          <w:szCs w:val="32"/>
        </w:rPr>
        <w:t>解读</w:t>
      </w:r>
      <w:r>
        <w:rPr>
          <w:rFonts w:hint="eastAsia" w:ascii="仿宋_GB2312" w:hAnsi="宋体" w:eastAsia="仿宋_GB2312" w:cs="仿宋_GB2312"/>
          <w:color w:val="000000"/>
          <w:kern w:val="0"/>
          <w:sz w:val="32"/>
          <w:szCs w:val="32"/>
          <w:lang w:val="en-US" w:eastAsia="zh-CN"/>
        </w:rPr>
        <w:t>工作</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同时，针对群众关心、热点问题，及时了解情况，</w:t>
      </w:r>
      <w:r>
        <w:rPr>
          <w:rFonts w:hint="eastAsia" w:ascii="仿宋_GB2312" w:hAnsi="宋体" w:eastAsia="仿宋_GB2312" w:cs="仿宋_GB2312"/>
          <w:color w:val="000000"/>
          <w:kern w:val="0"/>
          <w:sz w:val="32"/>
          <w:szCs w:val="32"/>
        </w:rPr>
        <w:t>积极主动做好回应，</w:t>
      </w:r>
      <w:r>
        <w:rPr>
          <w:rFonts w:hint="eastAsia" w:ascii="仿宋_GB2312" w:hAnsi="宋体" w:eastAsia="仿宋_GB2312" w:cs="仿宋_GB2312"/>
          <w:color w:val="000000"/>
          <w:kern w:val="0"/>
          <w:sz w:val="32"/>
          <w:szCs w:val="32"/>
          <w:lang w:val="en-US" w:eastAsia="zh-CN"/>
        </w:rPr>
        <w:t>正确引导社会舆论。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仿宋_GB2312"/>
          <w:color w:val="000000"/>
          <w:kern w:val="0"/>
          <w:sz w:val="32"/>
          <w:szCs w:val="32"/>
          <w:lang w:val="en-US" w:eastAsia="zh-CN"/>
        </w:rPr>
      </w:pPr>
      <w:r>
        <w:rPr>
          <w:rFonts w:hint="eastAsia" w:ascii="楷体_GB2312" w:hAnsi="宋体" w:eastAsia="楷体_GB2312" w:cs="楷体_GB2312"/>
          <w:b/>
          <w:bCs/>
          <w:color w:val="000000"/>
          <w:kern w:val="0"/>
          <w:sz w:val="32"/>
          <w:szCs w:val="32"/>
          <w:lang w:val="en-US" w:eastAsia="zh-CN"/>
        </w:rPr>
        <w:t>（四）完善平台建设。</w:t>
      </w:r>
      <w:r>
        <w:rPr>
          <w:rFonts w:hint="eastAsia" w:ascii="仿宋_GB2312" w:hAnsi="宋体" w:eastAsia="仿宋_GB2312" w:cs="仿宋_GB2312"/>
          <w:color w:val="000000"/>
          <w:kern w:val="0"/>
          <w:sz w:val="32"/>
          <w:szCs w:val="32"/>
          <w:lang w:val="en-US" w:eastAsia="zh-CN"/>
        </w:rPr>
        <w:t>按照县政府工作部署，持续加强政府网站建设和管理，顺应网络传播的新形势，打造成及时、准确、公开透明的政府信息发布平台，增强政府网站的吸引力、亲和力。充分利用政务微信客户端等新媒体，以“凤城发布”政务微信平台为主，专人负责信息收集、发布，不断拓展信息来源，进一步加快了信息公开节奏，扩大政府信息公开的覆盖面，建立一个功能完善、便民实用的交流平台，不断提升群众满意度。</w:t>
      </w:r>
    </w:p>
    <w:p>
      <w:pPr>
        <w:widowControl/>
        <w:spacing w:line="560" w:lineRule="exact"/>
        <w:ind w:firstLine="640"/>
        <w:jc w:val="left"/>
        <w:rPr>
          <w:rFonts w:hint="eastAsia" w:ascii="仿宋_GB2312" w:hAnsi="宋体" w:eastAsia="仿宋_GB2312" w:cs="仿宋_GB2312"/>
          <w:color w:val="000000"/>
          <w:kern w:val="0"/>
          <w:sz w:val="32"/>
          <w:szCs w:val="32"/>
        </w:rPr>
      </w:pPr>
      <w:r>
        <w:rPr>
          <w:rFonts w:hint="eastAsia" w:ascii="楷体_GB2312" w:hAnsi="宋体" w:eastAsia="楷体_GB2312" w:cs="楷体_GB2312"/>
          <w:b/>
          <w:bCs/>
          <w:color w:val="000000"/>
          <w:kern w:val="0"/>
          <w:sz w:val="32"/>
          <w:szCs w:val="32"/>
          <w:lang w:val="en-US" w:eastAsia="zh-CN"/>
        </w:rPr>
        <w:t>（五）接受监督情况。</w:t>
      </w:r>
      <w:r>
        <w:rPr>
          <w:rFonts w:hint="eastAsia"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lang w:val="en-US" w:eastAsia="zh-CN"/>
        </w:rPr>
        <w:t>3</w:t>
      </w:r>
      <w:r>
        <w:rPr>
          <w:rFonts w:hint="eastAsia"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lang w:val="en-US" w:eastAsia="zh-CN"/>
        </w:rPr>
        <w:t>我镇</w:t>
      </w:r>
      <w:r>
        <w:rPr>
          <w:rFonts w:hint="eastAsia" w:ascii="仿宋_GB2312" w:hAnsi="宋体" w:eastAsia="仿宋_GB2312" w:cs="仿宋_GB2312"/>
          <w:color w:val="000000"/>
          <w:kern w:val="0"/>
          <w:sz w:val="32"/>
          <w:szCs w:val="32"/>
        </w:rPr>
        <w:t>政府信息公开工作积极主动接受社会评议，未发生相关责任人责任追究问题情况，未出现违反有关法律规定、造成不良影响或者严重后果的情况。</w:t>
      </w:r>
    </w:p>
    <w:p>
      <w:pPr>
        <w:widowControl/>
        <w:spacing w:line="560" w:lineRule="exact"/>
        <w:ind w:firstLine="640"/>
        <w:jc w:val="left"/>
        <w:rPr>
          <w:rFonts w:ascii="宋体" w:cs="Times New Roman"/>
          <w:color w:val="000000"/>
          <w:sz w:val="24"/>
          <w:szCs w:val="24"/>
        </w:rPr>
      </w:pPr>
      <w:r>
        <w:rPr>
          <w:rFonts w:hint="eastAsia" w:ascii="黑体" w:hAnsi="宋体" w:eastAsia="黑体" w:cs="黑体"/>
          <w:color w:val="000000"/>
          <w:kern w:val="0"/>
          <w:sz w:val="32"/>
          <w:szCs w:val="32"/>
        </w:rPr>
        <w:t>二、主动公开政府信息情况</w:t>
      </w:r>
    </w:p>
    <w:tbl>
      <w:tblPr>
        <w:tblStyle w:val="5"/>
        <w:tblpPr w:leftFromText="180" w:rightFromText="180" w:vertAnchor="text" w:horzAnchor="page" w:tblpX="1924" w:tblpY="169"/>
        <w:tblOverlap w:val="never"/>
        <w:tblW w:w="8426"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2103"/>
        <w:gridCol w:w="2103"/>
        <w:gridCol w:w="2103"/>
        <w:gridCol w:w="211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345" w:hRule="atLeast"/>
        </w:trPr>
        <w:tc>
          <w:tcPr>
            <w:tcW w:w="8426" w:type="dxa"/>
            <w:gridSpan w:val="4"/>
            <w:tcBorders>
              <w:top w:val="single" w:color="auto" w:sz="6" w:space="0"/>
              <w:left w:val="single" w:color="auto" w:sz="6" w:space="0"/>
              <w:bottom w:val="single" w:color="auto" w:sz="6" w:space="0"/>
              <w:right w:val="single" w:color="auto" w:sz="6" w:space="0"/>
            </w:tcBorders>
            <w:shd w:val="clear" w:color="auto" w:fill="C6D9F1"/>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color w:val="000000"/>
              </w:rPr>
              <w:t>第二十条第（一）项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2103"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color w:val="000000"/>
              </w:rPr>
              <w:t>信息内容</w:t>
            </w:r>
          </w:p>
        </w:tc>
        <w:tc>
          <w:tcPr>
            <w:tcW w:w="2103"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color w:val="000000"/>
              </w:rPr>
              <w:t>本年</w:t>
            </w:r>
            <w:r>
              <w:rPr>
                <w:rFonts w:hint="eastAsia"/>
              </w:rPr>
              <w:t>制发件数</w:t>
            </w:r>
          </w:p>
        </w:tc>
        <w:tc>
          <w:tcPr>
            <w:tcW w:w="2103"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color w:val="000000"/>
              </w:rPr>
              <w:t>本年废止件数</w:t>
            </w:r>
          </w:p>
        </w:tc>
        <w:tc>
          <w:tcPr>
            <w:tcW w:w="2117"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color w:val="000000"/>
              </w:rPr>
              <w:t>现行有效件</w:t>
            </w:r>
            <w:r>
              <w:rPr>
                <w:rFonts w:hint="eastAsia"/>
              </w:rPr>
              <w:t>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2103"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color w:val="000000"/>
              </w:rPr>
              <w:t>规章</w:t>
            </w:r>
          </w:p>
        </w:tc>
        <w:tc>
          <w:tcPr>
            <w:tcW w:w="2103"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2103"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211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2103"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color w:val="000000"/>
              </w:rPr>
              <w:t>行政规范性文件</w:t>
            </w:r>
          </w:p>
        </w:tc>
        <w:tc>
          <w:tcPr>
            <w:tcW w:w="2103"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2103"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default" w:ascii="宋体" w:hAnsi="宋体" w:eastAsia="宋体" w:cs="宋体"/>
                <w:sz w:val="24"/>
                <w:lang w:val="en-US" w:eastAsia="zh-CN"/>
              </w:rPr>
            </w:pPr>
            <w:r>
              <w:rPr>
                <w:rFonts w:hint="eastAsia" w:ascii="宋体" w:hAnsi="宋体" w:cs="宋体"/>
                <w:sz w:val="24"/>
                <w:lang w:val="en-US" w:eastAsia="zh-CN"/>
              </w:rPr>
              <w:t>0</w:t>
            </w:r>
          </w:p>
        </w:tc>
        <w:tc>
          <w:tcPr>
            <w:tcW w:w="211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8426" w:type="dxa"/>
            <w:gridSpan w:val="4"/>
            <w:tcBorders>
              <w:top w:val="nil"/>
              <w:left w:val="single" w:color="auto" w:sz="6" w:space="0"/>
              <w:bottom w:val="single" w:color="auto" w:sz="6" w:space="0"/>
              <w:right w:val="single" w:color="auto" w:sz="6" w:space="0"/>
            </w:tcBorders>
            <w:shd w:val="clear" w:color="auto" w:fill="C6D9F1"/>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color w:val="000000"/>
              </w:rPr>
              <w:t>第二十条第（五）项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2103"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color w:val="000000"/>
              </w:rPr>
              <w:t>信息内容</w:t>
            </w:r>
          </w:p>
        </w:tc>
        <w:tc>
          <w:tcPr>
            <w:tcW w:w="6323" w:type="dxa"/>
            <w:gridSpan w:val="3"/>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color w:val="000000"/>
              </w:rPr>
              <w:t>本年处理决定数量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2103"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color w:val="000000"/>
              </w:rPr>
              <w:t>行政许可</w:t>
            </w:r>
          </w:p>
        </w:tc>
        <w:tc>
          <w:tcPr>
            <w:tcW w:w="6323" w:type="dxa"/>
            <w:gridSpan w:val="3"/>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8426" w:type="dxa"/>
            <w:gridSpan w:val="4"/>
            <w:tcBorders>
              <w:top w:val="nil"/>
              <w:left w:val="single" w:color="auto" w:sz="6" w:space="0"/>
              <w:bottom w:val="single" w:color="auto" w:sz="6" w:space="0"/>
              <w:right w:val="single" w:color="auto" w:sz="6" w:space="0"/>
            </w:tcBorders>
            <w:shd w:val="clear" w:color="auto" w:fill="C6D9F1"/>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color w:val="000000"/>
              </w:rPr>
              <w:t>第二十条第（六）项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2103"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color w:val="000000"/>
              </w:rPr>
              <w:t>信息内容</w:t>
            </w:r>
          </w:p>
        </w:tc>
        <w:tc>
          <w:tcPr>
            <w:tcW w:w="6323" w:type="dxa"/>
            <w:gridSpan w:val="3"/>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color w:val="000000"/>
              </w:rPr>
              <w:t>本年处理决定数量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2103"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color w:val="000000"/>
              </w:rPr>
              <w:t>行政处罚</w:t>
            </w:r>
          </w:p>
        </w:tc>
        <w:tc>
          <w:tcPr>
            <w:tcW w:w="6323" w:type="dxa"/>
            <w:gridSpan w:val="3"/>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2103"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color w:val="000000"/>
              </w:rPr>
              <w:t>行政强制</w:t>
            </w:r>
          </w:p>
        </w:tc>
        <w:tc>
          <w:tcPr>
            <w:tcW w:w="6323" w:type="dxa"/>
            <w:gridSpan w:val="3"/>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8426" w:type="dxa"/>
            <w:gridSpan w:val="4"/>
            <w:tcBorders>
              <w:top w:val="nil"/>
              <w:left w:val="single" w:color="auto" w:sz="6" w:space="0"/>
              <w:bottom w:val="single" w:color="auto" w:sz="6" w:space="0"/>
              <w:right w:val="single" w:color="auto" w:sz="6" w:space="0"/>
            </w:tcBorders>
            <w:shd w:val="clear" w:color="auto" w:fill="C6D9F1"/>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color w:val="000000"/>
              </w:rPr>
              <w:t>第二十条第（八）项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2103"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color w:val="000000"/>
              </w:rPr>
              <w:t>信息内容</w:t>
            </w:r>
          </w:p>
        </w:tc>
        <w:tc>
          <w:tcPr>
            <w:tcW w:w="6323" w:type="dxa"/>
            <w:gridSpan w:val="3"/>
            <w:tcBorders>
              <w:top w:val="nil"/>
              <w:left w:val="nil"/>
              <w:bottom w:val="single" w:color="auto" w:sz="6" w:space="0"/>
              <w:right w:val="single" w:color="000000" w:sz="6" w:space="0"/>
            </w:tcBorders>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color w:val="000000"/>
              </w:rPr>
              <w:t>本年收费金额（单位：万元）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2103"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color w:val="000000"/>
              </w:rPr>
              <w:t>行政事业性收费</w:t>
            </w:r>
          </w:p>
        </w:tc>
        <w:tc>
          <w:tcPr>
            <w:tcW w:w="6323" w:type="dxa"/>
            <w:gridSpan w:val="3"/>
            <w:tcBorders>
              <w:top w:val="nil"/>
              <w:left w:val="nil"/>
              <w:bottom w:val="single" w:color="auto" w:sz="6" w:space="0"/>
              <w:right w:val="single" w:color="000000"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r>
    </w:tbl>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top"/>
        <w:rPr>
          <w:rFonts w:hint="eastAsia" w:ascii="黑体" w:hAnsi="黑体" w:eastAsia="黑体" w:cs="黑体"/>
          <w:color w:val="000000"/>
          <w:kern w:val="2"/>
          <w:sz w:val="32"/>
          <w:szCs w:val="32"/>
          <w:shd w:val="clear" w:color="auto" w:fill="FFFFFF"/>
        </w:rPr>
      </w:pPr>
      <w:r>
        <w:rPr>
          <w:rFonts w:hint="eastAsia" w:ascii="黑体" w:hAnsi="黑体" w:eastAsia="黑体" w:cs="黑体"/>
          <w:color w:val="000000"/>
          <w:kern w:val="2"/>
          <w:sz w:val="32"/>
          <w:szCs w:val="32"/>
          <w:shd w:val="clear" w:color="auto" w:fill="FFFFFF"/>
        </w:rPr>
        <w:t>三、收到和处理政府信息公开申请情况</w:t>
      </w:r>
    </w:p>
    <w:tbl>
      <w:tblPr>
        <w:tblStyle w:val="5"/>
        <w:tblW w:w="856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600"/>
        <w:gridCol w:w="919"/>
        <w:gridCol w:w="2712"/>
        <w:gridCol w:w="337"/>
        <w:gridCol w:w="597"/>
        <w:gridCol w:w="597"/>
        <w:gridCol w:w="597"/>
        <w:gridCol w:w="598"/>
        <w:gridCol w:w="599"/>
        <w:gridCol w:w="100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4231" w:type="dxa"/>
            <w:gridSpan w:val="3"/>
            <w:vMerge w:val="restart"/>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textAlignment w:val="top"/>
              <w:rPr>
                <w:rFonts w:hint="eastAsia"/>
              </w:rPr>
            </w:pPr>
            <w:r>
              <w:rPr>
                <w:rFonts w:hint="eastAsia"/>
              </w:rPr>
              <w:t>（本列数据的勾稽关系为：第一项加第二项之和，等于第三项加第四项之和）</w:t>
            </w:r>
          </w:p>
        </w:tc>
        <w:tc>
          <w:tcPr>
            <w:tcW w:w="4332" w:type="dxa"/>
            <w:gridSpan w:val="7"/>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rPr>
              <w:t>申请人情况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4231" w:type="dxa"/>
            <w:gridSpan w:val="3"/>
            <w:vMerge w:val="continue"/>
            <w:tcBorders>
              <w:top w:val="single" w:color="auto" w:sz="6" w:space="0"/>
              <w:left w:val="single" w:color="auto" w:sz="6" w:space="0"/>
              <w:bottom w:val="outset" w:color="auto" w:sz="6" w:space="0"/>
              <w:right w:val="single" w:color="auto" w:sz="6" w:space="0"/>
            </w:tcBorders>
            <w:noWrap w:val="0"/>
            <w:vAlign w:val="top"/>
          </w:tcPr>
          <w:p>
            <w:pPr>
              <w:spacing w:line="500" w:lineRule="exact"/>
              <w:rPr>
                <w:rFonts w:hint="eastAsia" w:ascii="宋体" w:hAnsi="宋体" w:cs="宋体"/>
                <w:sz w:val="24"/>
              </w:rPr>
            </w:pPr>
          </w:p>
        </w:tc>
        <w:tc>
          <w:tcPr>
            <w:tcW w:w="337" w:type="dxa"/>
            <w:vMerge w:val="restart"/>
            <w:tcBorders>
              <w:top w:val="single" w:color="auto" w:sz="0" w:space="0"/>
              <w:left w:val="single" w:color="auto" w:sz="0" w:space="0"/>
              <w:bottom w:val="single" w:color="auto" w:sz="6" w:space="0"/>
              <w:right w:val="single" w:color="auto" w:sz="6" w:space="0"/>
            </w:tcBorders>
            <w:noWrap w:val="0"/>
            <w:vAlign w:val="top"/>
          </w:tcPr>
          <w:p>
            <w:pPr>
              <w:pStyle w:val="4"/>
              <w:spacing w:before="0" w:beforeAutospacing="0" w:after="0" w:afterAutospacing="0" w:line="500" w:lineRule="exact"/>
              <w:jc w:val="center"/>
              <w:textAlignment w:val="top"/>
              <w:rPr>
                <w:rFonts w:hint="eastAsia"/>
              </w:rPr>
            </w:pPr>
            <w:r>
              <w:rPr>
                <w:rFonts w:hint="eastAsia"/>
              </w:rPr>
              <w:t>自然人</w:t>
            </w:r>
          </w:p>
        </w:tc>
        <w:tc>
          <w:tcPr>
            <w:tcW w:w="2988" w:type="dxa"/>
            <w:gridSpan w:val="5"/>
            <w:tcBorders>
              <w:top w:val="single" w:color="auto" w:sz="6" w:space="0"/>
              <w:left w:val="single" w:color="auto" w:sz="0"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rPr>
            </w:pPr>
            <w:r>
              <w:rPr>
                <w:rFonts w:hint="eastAsia"/>
              </w:rPr>
              <w:t>法人或其他组织</w:t>
            </w:r>
          </w:p>
        </w:tc>
        <w:tc>
          <w:tcPr>
            <w:tcW w:w="1007" w:type="dxa"/>
            <w:vMerge w:val="restart"/>
            <w:tcBorders>
              <w:top w:val="single" w:color="auto" w:sz="6"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rPr>
              <w:t>总计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4231" w:type="dxa"/>
            <w:gridSpan w:val="3"/>
            <w:vMerge w:val="continue"/>
            <w:tcBorders>
              <w:top w:val="single" w:color="auto" w:sz="6" w:space="0"/>
              <w:left w:val="single" w:color="auto" w:sz="6" w:space="0"/>
              <w:bottom w:val="outset" w:color="auto" w:sz="6" w:space="0"/>
              <w:right w:val="single" w:color="auto" w:sz="6" w:space="0"/>
            </w:tcBorders>
            <w:noWrap w:val="0"/>
            <w:vAlign w:val="top"/>
          </w:tcPr>
          <w:p>
            <w:pPr>
              <w:spacing w:line="500" w:lineRule="exact"/>
              <w:rPr>
                <w:rFonts w:hint="eastAsia" w:ascii="宋体" w:hAnsi="宋体" w:cs="宋体"/>
                <w:sz w:val="24"/>
              </w:rPr>
            </w:pPr>
          </w:p>
        </w:tc>
        <w:tc>
          <w:tcPr>
            <w:tcW w:w="337" w:type="dxa"/>
            <w:vMerge w:val="continue"/>
            <w:tcBorders>
              <w:top w:val="single" w:color="auto" w:sz="0" w:space="0"/>
              <w:left w:val="single" w:color="auto" w:sz="0" w:space="0"/>
              <w:bottom w:val="single" w:color="auto" w:sz="6" w:space="0"/>
              <w:right w:val="single" w:color="auto" w:sz="6" w:space="0"/>
            </w:tcBorders>
            <w:noWrap w:val="0"/>
            <w:vAlign w:val="top"/>
          </w:tcPr>
          <w:p>
            <w:pPr>
              <w:spacing w:line="500" w:lineRule="exact"/>
              <w:rPr>
                <w:rFonts w:hint="eastAsia" w:ascii="宋体" w:hAnsi="宋体" w:cs="宋体"/>
                <w:sz w:val="24"/>
              </w:rPr>
            </w:pPr>
          </w:p>
        </w:tc>
        <w:tc>
          <w:tcPr>
            <w:tcW w:w="597" w:type="dxa"/>
            <w:tcBorders>
              <w:top w:val="single" w:color="auto" w:sz="0" w:space="0"/>
              <w:left w:val="single" w:color="auto" w:sz="0"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rPr>
            </w:pPr>
            <w:r>
              <w:rPr>
                <w:rFonts w:hint="eastAsia"/>
              </w:rPr>
              <w:t>商业</w:t>
            </w:r>
          </w:p>
          <w:p>
            <w:pPr>
              <w:pStyle w:val="4"/>
              <w:spacing w:before="0" w:beforeAutospacing="0" w:after="0" w:afterAutospacing="0" w:line="500" w:lineRule="exact"/>
              <w:jc w:val="center"/>
              <w:textAlignment w:val="top"/>
              <w:rPr>
                <w:rFonts w:hint="eastAsia"/>
              </w:rPr>
            </w:pPr>
            <w:r>
              <w:rPr>
                <w:rFonts w:hint="eastAsia"/>
              </w:rPr>
              <w:t>企业</w:t>
            </w:r>
          </w:p>
        </w:tc>
        <w:tc>
          <w:tcPr>
            <w:tcW w:w="597" w:type="dxa"/>
            <w:tcBorders>
              <w:top w:val="single" w:color="auto" w:sz="0" w:space="0"/>
              <w:left w:val="single" w:color="auto" w:sz="0"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rPr>
              <w:t>科研</w:t>
            </w:r>
          </w:p>
          <w:p>
            <w:pPr>
              <w:pStyle w:val="4"/>
              <w:spacing w:before="0" w:beforeAutospacing="0" w:after="0" w:afterAutospacing="0" w:line="500" w:lineRule="exact"/>
              <w:jc w:val="center"/>
              <w:textAlignment w:val="top"/>
              <w:rPr>
                <w:rFonts w:hint="eastAsia"/>
              </w:rPr>
            </w:pPr>
            <w:r>
              <w:rPr>
                <w:rFonts w:hint="eastAsia"/>
              </w:rPr>
              <w:t>机构</w:t>
            </w:r>
          </w:p>
        </w:tc>
        <w:tc>
          <w:tcPr>
            <w:tcW w:w="597" w:type="dxa"/>
            <w:tcBorders>
              <w:top w:val="single" w:color="auto" w:sz="6" w:space="0"/>
              <w:left w:val="single" w:color="auto" w:sz="0"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rPr>
              <w:t>社会公益组织</w:t>
            </w:r>
          </w:p>
        </w:tc>
        <w:tc>
          <w:tcPr>
            <w:tcW w:w="598" w:type="dxa"/>
            <w:tcBorders>
              <w:top w:val="single" w:color="auto" w:sz="6" w:space="0"/>
              <w:left w:val="single" w:color="auto" w:sz="0"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rPr>
              <w:t>法律服务机构</w:t>
            </w:r>
          </w:p>
        </w:tc>
        <w:tc>
          <w:tcPr>
            <w:tcW w:w="599" w:type="dxa"/>
            <w:tcBorders>
              <w:top w:val="single" w:color="auto" w:sz="6" w:space="0"/>
              <w:left w:val="single" w:color="auto" w:sz="0"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rPr>
              <w:t>其他</w:t>
            </w:r>
          </w:p>
        </w:tc>
        <w:tc>
          <w:tcPr>
            <w:tcW w:w="1007" w:type="dxa"/>
            <w:vMerge w:val="continue"/>
            <w:tcBorders>
              <w:top w:val="single" w:color="auto" w:sz="6"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4231"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一、本年新收政府信息公开申请数量</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4231"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二、上年结转政府信息公开申请数量</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restart"/>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三、本年度办理结果</w:t>
            </w:r>
          </w:p>
        </w:tc>
        <w:tc>
          <w:tcPr>
            <w:tcW w:w="3631"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（一）予以公开</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1007"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3631"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（二）部分公开（区分处理的，只计这一情形，不计其他情形）</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restart"/>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（三）不予公开</w:t>
            </w: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1.属于国家秘密</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1007"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continue"/>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2.其他法律行政法规禁止公开</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continue"/>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3.危及“三安全一稳定”</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continue"/>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4.保护第三方合法权益</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continue"/>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5.属于三类内部事务信息</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continue"/>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6.属于四类过程性信息</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continue"/>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7.属于行政执法案卷</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continue"/>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8.属于行政查询事项</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restart"/>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（四）无法提供</w:t>
            </w: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1.本机关不掌握相关政府信息</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continue"/>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2.没有现成信息需要另行制作</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continue"/>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3.补正后申请内容仍不明确</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restart"/>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（五）不予处理</w:t>
            </w: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1.信访举报投诉类申请</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continue"/>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2.重复申请</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continue"/>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3.要求提供公开出版物</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continue"/>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4.无正当理由大量反复申请</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continue"/>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2712" w:type="dxa"/>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both"/>
              <w:textAlignment w:val="top"/>
              <w:rPr>
                <w:rFonts w:hint="eastAsia"/>
              </w:rPr>
            </w:pPr>
            <w:r>
              <w:rPr>
                <w:rFonts w:hint="eastAsia"/>
              </w:rPr>
              <w:t>5.要求行政机关确认或重新出具已获取信息</w:t>
            </w:r>
          </w:p>
        </w:tc>
        <w:tc>
          <w:tcPr>
            <w:tcW w:w="337" w:type="dxa"/>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restart"/>
            <w:tcBorders>
              <w:top w:val="outset" w:color="auto" w:sz="6"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（六）其他处理</w:t>
            </w: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both"/>
              <w:textAlignment w:val="top"/>
              <w:rPr>
                <w:rFonts w:hint="eastAsia"/>
              </w:rPr>
            </w:pPr>
            <w:r>
              <w:rPr>
                <w:rFonts w:hint="eastAsia"/>
              </w:rPr>
              <w:t>1.申请人无正当理由逾期不补正、行政机关不再处理其政府信息公开申请</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continue"/>
            <w:tcBorders>
              <w:top w:val="outset" w:color="auto" w:sz="6"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both"/>
              <w:textAlignment w:val="top"/>
              <w:rPr>
                <w:rFonts w:hint="eastAsia"/>
              </w:rPr>
            </w:pPr>
            <w:r>
              <w:rPr>
                <w:rFonts w:hint="eastAsia"/>
              </w:rPr>
              <w:t>2.申请人逾期未按收费通知要求缴纳费用、行政机关不再处理其政府信息公开申请</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continue"/>
            <w:tcBorders>
              <w:top w:val="outset" w:color="auto" w:sz="6"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3.其他</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3631"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（七）总计</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4231"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四、结转下年度继续办理</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bl>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top"/>
        <w:rPr>
          <w:rFonts w:hint="eastAsia" w:ascii="黑体" w:hAnsi="黑体" w:eastAsia="黑体" w:cs="黑体"/>
          <w:color w:val="000000"/>
          <w:kern w:val="2"/>
          <w:sz w:val="32"/>
          <w:szCs w:val="32"/>
          <w:shd w:val="clear" w:color="auto" w:fill="FFFFFF"/>
        </w:rPr>
      </w:pPr>
      <w:r>
        <w:rPr>
          <w:rFonts w:hint="eastAsia" w:ascii="黑体" w:hAnsi="黑体" w:eastAsia="黑体" w:cs="黑体"/>
          <w:color w:val="000000"/>
          <w:kern w:val="2"/>
          <w:sz w:val="32"/>
          <w:szCs w:val="32"/>
          <w:shd w:val="clear" w:color="auto" w:fill="FFFFFF"/>
        </w:rPr>
        <w:t>四、政府信息公开行政复议、行政诉讼情况</w:t>
      </w:r>
    </w:p>
    <w:tbl>
      <w:tblPr>
        <w:tblStyle w:val="5"/>
        <w:tblpPr w:leftFromText="180" w:rightFromText="180" w:vertAnchor="text" w:horzAnchor="page" w:tblpX="1859" w:tblpY="28"/>
        <w:tblOverlap w:val="never"/>
        <w:tblW w:w="8516"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567"/>
        <w:gridCol w:w="567"/>
        <w:gridCol w:w="567"/>
        <w:gridCol w:w="567"/>
        <w:gridCol w:w="568"/>
        <w:gridCol w:w="568"/>
        <w:gridCol w:w="568"/>
        <w:gridCol w:w="568"/>
        <w:gridCol w:w="568"/>
        <w:gridCol w:w="568"/>
        <w:gridCol w:w="568"/>
        <w:gridCol w:w="568"/>
        <w:gridCol w:w="568"/>
        <w:gridCol w:w="568"/>
        <w:gridCol w:w="56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836"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rPr>
            </w:pPr>
            <w:r>
              <w:rPr>
                <w:rFonts w:hint="eastAsia"/>
              </w:rPr>
              <w:t>行政复议</w:t>
            </w:r>
          </w:p>
        </w:tc>
        <w:tc>
          <w:tcPr>
            <w:tcW w:w="5680" w:type="dxa"/>
            <w:gridSpan w:val="10"/>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rPr>
            </w:pPr>
            <w:r>
              <w:rPr>
                <w:rFonts w:hint="eastAsia"/>
              </w:rPr>
              <w:t>行政诉讼</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67"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rPr>
            </w:pPr>
            <w:r>
              <w:rPr>
                <w:rFonts w:hint="eastAsia"/>
              </w:rPr>
              <w:t>结果维持</w:t>
            </w:r>
          </w:p>
        </w:tc>
        <w:tc>
          <w:tcPr>
            <w:tcW w:w="567"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eastAsia="宋体"/>
                <w:lang w:eastAsia="zh-CN"/>
              </w:rPr>
            </w:pPr>
            <w:r>
              <w:rPr>
                <w:rFonts w:hint="eastAsia"/>
              </w:rPr>
              <w:t>结果</w:t>
            </w:r>
          </w:p>
          <w:p>
            <w:pPr>
              <w:pStyle w:val="4"/>
              <w:spacing w:before="0" w:beforeAutospacing="0" w:after="0" w:afterAutospacing="0" w:line="500" w:lineRule="exact"/>
              <w:jc w:val="center"/>
              <w:textAlignment w:val="top"/>
              <w:rPr>
                <w:rFonts w:hint="eastAsia"/>
              </w:rPr>
            </w:pPr>
            <w:r>
              <w:rPr>
                <w:rFonts w:hint="eastAsia"/>
              </w:rPr>
              <w:t>纠正</w:t>
            </w:r>
          </w:p>
        </w:tc>
        <w:tc>
          <w:tcPr>
            <w:tcW w:w="567"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eastAsia="宋体"/>
                <w:lang w:eastAsia="zh-CN"/>
              </w:rPr>
            </w:pPr>
            <w:r>
              <w:rPr>
                <w:rFonts w:hint="eastAsia"/>
              </w:rPr>
              <w:t>其他</w:t>
            </w:r>
          </w:p>
          <w:p>
            <w:pPr>
              <w:pStyle w:val="4"/>
              <w:spacing w:before="0" w:beforeAutospacing="0" w:after="0" w:afterAutospacing="0" w:line="500" w:lineRule="exact"/>
              <w:jc w:val="center"/>
              <w:textAlignment w:val="top"/>
              <w:rPr>
                <w:rFonts w:hint="eastAsia"/>
              </w:rPr>
            </w:pPr>
            <w:r>
              <w:rPr>
                <w:rFonts w:hint="eastAsia"/>
              </w:rPr>
              <w:t>结果</w:t>
            </w:r>
          </w:p>
        </w:tc>
        <w:tc>
          <w:tcPr>
            <w:tcW w:w="567"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eastAsia="宋体"/>
                <w:lang w:eastAsia="zh-CN"/>
              </w:rPr>
            </w:pPr>
            <w:r>
              <w:rPr>
                <w:rFonts w:hint="eastAsia"/>
              </w:rPr>
              <w:t>尚未</w:t>
            </w:r>
          </w:p>
          <w:p>
            <w:pPr>
              <w:pStyle w:val="4"/>
              <w:spacing w:before="0" w:beforeAutospacing="0" w:after="0" w:afterAutospacing="0" w:line="500" w:lineRule="exact"/>
              <w:jc w:val="center"/>
              <w:textAlignment w:val="top"/>
              <w:rPr>
                <w:rFonts w:hint="eastAsia"/>
              </w:rPr>
            </w:pPr>
            <w:r>
              <w:rPr>
                <w:rFonts w:hint="eastAsia"/>
              </w:rPr>
              <w:t>审结</w:t>
            </w:r>
          </w:p>
        </w:tc>
        <w:tc>
          <w:tcPr>
            <w:tcW w:w="568"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rPr>
            </w:pPr>
            <w:r>
              <w:rPr>
                <w:rFonts w:hint="eastAsia"/>
              </w:rPr>
              <w:t>总计</w:t>
            </w:r>
          </w:p>
        </w:tc>
        <w:tc>
          <w:tcPr>
            <w:tcW w:w="2840"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rPr>
            </w:pPr>
            <w:r>
              <w:rPr>
                <w:rFonts w:hint="eastAsia"/>
              </w:rPr>
              <w:t>未经复议直接起诉</w:t>
            </w:r>
          </w:p>
        </w:tc>
        <w:tc>
          <w:tcPr>
            <w:tcW w:w="2840"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rPr>
            </w:pPr>
            <w:r>
              <w:rPr>
                <w:rFonts w:hint="eastAsia"/>
              </w:rPr>
              <w:t>复议后起诉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67"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spacing w:line="500" w:lineRule="exact"/>
              <w:rPr>
                <w:rFonts w:hint="eastAsia" w:ascii="宋体" w:hAnsi="宋体" w:cs="宋体"/>
                <w:sz w:val="24"/>
              </w:rPr>
            </w:pPr>
          </w:p>
        </w:tc>
        <w:tc>
          <w:tcPr>
            <w:tcW w:w="567"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spacing w:line="500" w:lineRule="exact"/>
              <w:rPr>
                <w:rFonts w:hint="eastAsia" w:ascii="宋体" w:hAnsi="宋体" w:cs="宋体"/>
                <w:sz w:val="24"/>
              </w:rPr>
            </w:pPr>
          </w:p>
        </w:tc>
        <w:tc>
          <w:tcPr>
            <w:tcW w:w="567"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spacing w:line="500" w:lineRule="exact"/>
              <w:rPr>
                <w:rFonts w:hint="eastAsia" w:ascii="宋体" w:hAnsi="宋体" w:cs="宋体"/>
                <w:sz w:val="24"/>
              </w:rPr>
            </w:pPr>
          </w:p>
        </w:tc>
        <w:tc>
          <w:tcPr>
            <w:tcW w:w="567"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spacing w:line="500" w:lineRule="exact"/>
              <w:rPr>
                <w:rFonts w:hint="eastAsia" w:ascii="宋体" w:hAnsi="宋体" w:cs="宋体"/>
                <w:sz w:val="24"/>
              </w:rPr>
            </w:pPr>
          </w:p>
        </w:tc>
        <w:tc>
          <w:tcPr>
            <w:tcW w:w="568"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spacing w:line="500" w:lineRule="exact"/>
              <w:rPr>
                <w:rFonts w:hint="eastAsia" w:ascii="宋体" w:hAnsi="宋体" w:cs="宋体"/>
                <w:sz w:val="24"/>
              </w:rPr>
            </w:pP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eastAsia="宋体"/>
                <w:lang w:eastAsia="zh-CN"/>
              </w:rPr>
            </w:pPr>
            <w:r>
              <w:rPr>
                <w:rFonts w:hint="eastAsia"/>
              </w:rPr>
              <w:t>结果</w:t>
            </w:r>
          </w:p>
          <w:p>
            <w:pPr>
              <w:pStyle w:val="4"/>
              <w:spacing w:before="0" w:beforeAutospacing="0" w:after="0" w:afterAutospacing="0" w:line="500" w:lineRule="exact"/>
              <w:jc w:val="center"/>
              <w:textAlignment w:val="top"/>
              <w:rPr>
                <w:rFonts w:hint="eastAsia"/>
              </w:rPr>
            </w:pPr>
            <w:r>
              <w:rPr>
                <w:rFonts w:hint="eastAsia"/>
              </w:rPr>
              <w:t>维持</w:t>
            </w: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eastAsia="宋体"/>
                <w:lang w:eastAsia="zh-CN"/>
              </w:rPr>
            </w:pPr>
            <w:r>
              <w:rPr>
                <w:rFonts w:hint="eastAsia"/>
              </w:rPr>
              <w:t>结果</w:t>
            </w:r>
          </w:p>
          <w:p>
            <w:pPr>
              <w:pStyle w:val="4"/>
              <w:spacing w:before="0" w:beforeAutospacing="0" w:after="0" w:afterAutospacing="0" w:line="500" w:lineRule="exact"/>
              <w:jc w:val="center"/>
              <w:textAlignment w:val="top"/>
              <w:rPr>
                <w:rFonts w:hint="eastAsia"/>
              </w:rPr>
            </w:pPr>
            <w:r>
              <w:rPr>
                <w:rFonts w:hint="eastAsia"/>
              </w:rPr>
              <w:t>纠正</w:t>
            </w:r>
          </w:p>
        </w:tc>
        <w:tc>
          <w:tcPr>
            <w:tcW w:w="56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eastAsia="宋体"/>
                <w:lang w:eastAsia="zh-CN"/>
              </w:rPr>
            </w:pPr>
            <w:r>
              <w:rPr>
                <w:rFonts w:hint="eastAsia"/>
              </w:rPr>
              <w:t>其他</w:t>
            </w:r>
          </w:p>
          <w:p>
            <w:pPr>
              <w:pStyle w:val="4"/>
              <w:spacing w:before="0" w:beforeAutospacing="0" w:after="0" w:afterAutospacing="0" w:line="500" w:lineRule="exact"/>
              <w:jc w:val="center"/>
              <w:textAlignment w:val="top"/>
              <w:rPr>
                <w:rFonts w:hint="eastAsia"/>
              </w:rPr>
            </w:pPr>
            <w:r>
              <w:rPr>
                <w:rFonts w:hint="eastAsia"/>
              </w:rPr>
              <w:t>结果</w:t>
            </w:r>
          </w:p>
        </w:tc>
        <w:tc>
          <w:tcPr>
            <w:tcW w:w="56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eastAsia="宋体"/>
                <w:lang w:eastAsia="zh-CN"/>
              </w:rPr>
            </w:pPr>
            <w:r>
              <w:rPr>
                <w:rFonts w:hint="eastAsia"/>
              </w:rPr>
              <w:t>尚未</w:t>
            </w:r>
          </w:p>
          <w:p>
            <w:pPr>
              <w:pStyle w:val="4"/>
              <w:spacing w:before="0" w:beforeAutospacing="0" w:after="0" w:afterAutospacing="0" w:line="500" w:lineRule="exact"/>
              <w:jc w:val="center"/>
              <w:textAlignment w:val="top"/>
              <w:rPr>
                <w:rFonts w:hint="eastAsia"/>
              </w:rPr>
            </w:pPr>
            <w:r>
              <w:rPr>
                <w:rFonts w:hint="eastAsia"/>
              </w:rPr>
              <w:t>审结</w:t>
            </w:r>
          </w:p>
        </w:tc>
        <w:tc>
          <w:tcPr>
            <w:tcW w:w="56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rPr>
            </w:pPr>
            <w:r>
              <w:rPr>
                <w:rFonts w:hint="eastAsia"/>
                <w:color w:val="000000"/>
              </w:rPr>
              <w:t>总计</w:t>
            </w:r>
          </w:p>
        </w:tc>
        <w:tc>
          <w:tcPr>
            <w:tcW w:w="56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eastAsia="宋体"/>
                <w:lang w:eastAsia="zh-CN"/>
              </w:rPr>
            </w:pPr>
            <w:r>
              <w:rPr>
                <w:rFonts w:hint="eastAsia"/>
              </w:rPr>
              <w:t>结果</w:t>
            </w:r>
          </w:p>
          <w:p>
            <w:pPr>
              <w:pStyle w:val="4"/>
              <w:spacing w:before="0" w:beforeAutospacing="0" w:after="0" w:afterAutospacing="0" w:line="500" w:lineRule="exact"/>
              <w:jc w:val="center"/>
              <w:textAlignment w:val="top"/>
              <w:rPr>
                <w:rFonts w:hint="eastAsia"/>
              </w:rPr>
            </w:pPr>
            <w:r>
              <w:rPr>
                <w:rFonts w:hint="eastAsia"/>
              </w:rPr>
              <w:t>维持</w:t>
            </w:r>
          </w:p>
        </w:tc>
        <w:tc>
          <w:tcPr>
            <w:tcW w:w="56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eastAsia="宋体"/>
                <w:lang w:eastAsia="zh-CN"/>
              </w:rPr>
            </w:pPr>
            <w:r>
              <w:rPr>
                <w:rFonts w:hint="eastAsia"/>
              </w:rPr>
              <w:t>结果</w:t>
            </w:r>
          </w:p>
          <w:p>
            <w:pPr>
              <w:pStyle w:val="4"/>
              <w:spacing w:before="0" w:beforeAutospacing="0" w:after="0" w:afterAutospacing="0" w:line="500" w:lineRule="exact"/>
              <w:jc w:val="center"/>
              <w:textAlignment w:val="top"/>
              <w:rPr>
                <w:rFonts w:hint="eastAsia"/>
              </w:rPr>
            </w:pPr>
            <w:r>
              <w:rPr>
                <w:rFonts w:hint="eastAsia"/>
              </w:rPr>
              <w:t>纠正</w:t>
            </w:r>
          </w:p>
        </w:tc>
        <w:tc>
          <w:tcPr>
            <w:tcW w:w="56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eastAsia="宋体"/>
                <w:color w:val="000000"/>
                <w:lang w:eastAsia="zh-CN"/>
              </w:rPr>
            </w:pPr>
            <w:r>
              <w:rPr>
                <w:rFonts w:hint="eastAsia"/>
                <w:color w:val="000000"/>
              </w:rPr>
              <w:t>其他</w:t>
            </w:r>
          </w:p>
          <w:p>
            <w:pPr>
              <w:pStyle w:val="4"/>
              <w:spacing w:before="0" w:beforeAutospacing="0" w:after="0" w:afterAutospacing="0" w:line="500" w:lineRule="exact"/>
              <w:jc w:val="center"/>
              <w:textAlignment w:val="top"/>
              <w:rPr>
                <w:rFonts w:hint="eastAsia"/>
              </w:rPr>
            </w:pPr>
            <w:r>
              <w:rPr>
                <w:rFonts w:hint="eastAsia"/>
                <w:color w:val="000000"/>
              </w:rPr>
              <w:t>结果</w:t>
            </w:r>
          </w:p>
        </w:tc>
        <w:tc>
          <w:tcPr>
            <w:tcW w:w="56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eastAsia="宋体"/>
                <w:lang w:eastAsia="zh-CN"/>
              </w:rPr>
            </w:pPr>
            <w:r>
              <w:rPr>
                <w:rFonts w:hint="eastAsia"/>
              </w:rPr>
              <w:t>尚未</w:t>
            </w:r>
          </w:p>
          <w:p>
            <w:pPr>
              <w:pStyle w:val="4"/>
              <w:spacing w:before="0" w:beforeAutospacing="0" w:after="0" w:afterAutospacing="0" w:line="500" w:lineRule="exact"/>
              <w:jc w:val="center"/>
              <w:textAlignment w:val="top"/>
              <w:rPr>
                <w:rFonts w:hint="eastAsia"/>
              </w:rPr>
            </w:pPr>
            <w:r>
              <w:rPr>
                <w:rFonts w:hint="eastAsia"/>
              </w:rPr>
              <w:t>审结</w:t>
            </w:r>
          </w:p>
        </w:tc>
        <w:tc>
          <w:tcPr>
            <w:tcW w:w="56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rPr>
            </w:pPr>
            <w:r>
              <w:rPr>
                <w:rFonts w:hint="eastAsia"/>
                <w:color w:val="000000"/>
              </w:rPr>
              <w:t>总计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bl>
    <w:p>
      <w:pPr>
        <w:widowControl/>
        <w:spacing w:line="560" w:lineRule="exact"/>
        <w:ind w:firstLine="640" w:firstLineChars="200"/>
        <w:jc w:val="left"/>
        <w:rPr>
          <w:rFonts w:ascii="宋体" w:cs="Times New Roman"/>
          <w:color w:val="000000"/>
          <w:sz w:val="24"/>
          <w:szCs w:val="24"/>
        </w:rPr>
      </w:pPr>
      <w:r>
        <w:rPr>
          <w:rFonts w:hint="eastAsia" w:ascii="黑体" w:hAnsi="宋体" w:eastAsia="黑体" w:cs="黑体"/>
          <w:color w:val="000000"/>
          <w:kern w:val="0"/>
          <w:sz w:val="32"/>
          <w:szCs w:val="32"/>
        </w:rPr>
        <w:t>五、存在的主要问题及改进情况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宋体" w:cs="Times New Roman"/>
          <w:color w:val="000000"/>
          <w:sz w:val="24"/>
          <w:szCs w:val="24"/>
        </w:rPr>
      </w:pPr>
      <w:r>
        <w:rPr>
          <w:rFonts w:hint="eastAsia" w:ascii="楷体_GB2312" w:hAnsi="宋体" w:eastAsia="楷体_GB2312" w:cs="楷体_GB2312"/>
          <w:b/>
          <w:bCs/>
          <w:color w:val="000000"/>
          <w:kern w:val="0"/>
          <w:sz w:val="32"/>
          <w:szCs w:val="32"/>
        </w:rPr>
        <w:t>（一）主要问题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宋体" w:cs="Times New Roman"/>
          <w:color w:val="000000"/>
          <w:sz w:val="24"/>
          <w:szCs w:val="24"/>
        </w:rPr>
      </w:pPr>
      <w:r>
        <w:rPr>
          <w:rFonts w:hint="eastAsia" w:ascii="仿宋_GB2312" w:hAnsi="宋体" w:eastAsia="仿宋_GB2312" w:cs="仿宋_GB2312"/>
          <w:color w:val="000000"/>
          <w:kern w:val="0"/>
          <w:sz w:val="32"/>
          <w:szCs w:val="32"/>
        </w:rPr>
        <w:t>一是主动公开的深度有待进一步拓展。认识不够深刻、业务知识不够全面，主动公开政府信息便民性、时效性、实用性信息稍有欠缺；二是政务公开宣传范围局限，收效</w:t>
      </w:r>
      <w:r>
        <w:rPr>
          <w:rFonts w:hint="eastAsia" w:ascii="仿宋_GB2312" w:hAnsi="宋体" w:eastAsia="仿宋_GB2312" w:cs="仿宋_GB2312"/>
          <w:color w:val="000000"/>
          <w:kern w:val="0"/>
          <w:sz w:val="32"/>
          <w:szCs w:val="32"/>
          <w:lang w:val="en-US" w:eastAsia="zh-CN"/>
        </w:rPr>
        <w:t>较</w:t>
      </w:r>
      <w:r>
        <w:rPr>
          <w:rFonts w:hint="eastAsia" w:ascii="仿宋_GB2312" w:hAnsi="宋体" w:eastAsia="仿宋_GB2312" w:cs="仿宋_GB2312"/>
          <w:color w:val="000000"/>
          <w:kern w:val="0"/>
          <w:sz w:val="32"/>
          <w:szCs w:val="32"/>
        </w:rPr>
        <w:t>浅</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适合群众查阅政府信息的形式较少</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公众参与度不高;三是公开渠道还待完善，网上信息服务功能及服务效率有待进一步增强和提高</w:t>
      </w:r>
      <w:r>
        <w:rPr>
          <w:rFonts w:hint="eastAsia" w:ascii="仿宋_GB2312" w:hAnsi="宋体" w:eastAsia="仿宋_GB2312" w:cs="仿宋_GB2312"/>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宋体" w:cs="Times New Roman"/>
          <w:color w:val="000000"/>
          <w:sz w:val="24"/>
          <w:szCs w:val="24"/>
        </w:rPr>
      </w:pPr>
      <w:r>
        <w:rPr>
          <w:rFonts w:hint="eastAsia" w:ascii="楷体_GB2312" w:hAnsi="宋体" w:eastAsia="楷体_GB2312" w:cs="楷体_GB2312"/>
          <w:b/>
          <w:bCs/>
          <w:color w:val="000000"/>
          <w:kern w:val="0"/>
          <w:sz w:val="32"/>
          <w:szCs w:val="32"/>
        </w:rPr>
        <w:t>（二）改进措施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下一步我们将继续认真贯彻上级部门关于政务公开工作的要求和部署，结合</w:t>
      </w:r>
      <w:r>
        <w:rPr>
          <w:rFonts w:hint="eastAsia" w:ascii="仿宋_GB2312" w:hAnsi="宋体" w:eastAsia="仿宋_GB2312" w:cs="仿宋_GB2312"/>
          <w:color w:val="000000"/>
          <w:kern w:val="0"/>
          <w:sz w:val="32"/>
          <w:szCs w:val="32"/>
          <w:lang w:val="en-US" w:eastAsia="zh-CN"/>
        </w:rPr>
        <w:t>我镇</w:t>
      </w:r>
      <w:r>
        <w:rPr>
          <w:rFonts w:hint="eastAsia" w:ascii="仿宋_GB2312" w:hAnsi="宋体" w:eastAsia="仿宋_GB2312" w:cs="仿宋_GB2312"/>
          <w:color w:val="000000"/>
          <w:kern w:val="0"/>
          <w:sz w:val="32"/>
          <w:szCs w:val="32"/>
        </w:rPr>
        <w:t>实际，进一步强化政务公开制度建设，积极宣传政府的新政策、新举措、新成绩。</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仿宋_GB2312"/>
          <w:color w:val="000000"/>
          <w:kern w:val="0"/>
          <w:sz w:val="32"/>
          <w:szCs w:val="32"/>
        </w:rPr>
      </w:pPr>
      <w:r>
        <w:rPr>
          <w:rFonts w:hint="eastAsia" w:ascii="楷体_GB2312" w:hAnsi="宋体" w:eastAsia="楷体_GB2312" w:cs="楷体_GB2312"/>
          <w:b/>
          <w:bCs/>
          <w:color w:val="000000"/>
          <w:kern w:val="0"/>
          <w:sz w:val="32"/>
          <w:szCs w:val="32"/>
        </w:rPr>
        <w:t>一是挖掘政务公开内容的广度和深度</w:t>
      </w:r>
      <w:r>
        <w:rPr>
          <w:rFonts w:hint="eastAsia" w:ascii="楷体_GB2312" w:hAnsi="宋体" w:eastAsia="楷体_GB2312" w:cs="楷体_GB2312"/>
          <w:b/>
          <w:bCs/>
          <w:color w:val="000000"/>
          <w:kern w:val="0"/>
          <w:sz w:val="32"/>
          <w:szCs w:val="32"/>
          <w:lang w:eastAsia="zh-CN"/>
        </w:rPr>
        <w:t>。</w:t>
      </w:r>
      <w:r>
        <w:rPr>
          <w:rFonts w:hint="eastAsia" w:ascii="仿宋_GB2312" w:eastAsia="仿宋_GB2312"/>
          <w:b w:val="0"/>
          <w:bCs w:val="0"/>
          <w:sz w:val="32"/>
          <w:szCs w:val="32"/>
          <w:lang w:val="en-US" w:eastAsia="zh-CN"/>
        </w:rPr>
        <w:t>加强信息的收集、整理，</w:t>
      </w:r>
      <w:r>
        <w:rPr>
          <w:rFonts w:hint="eastAsia" w:ascii="仿宋_GB2312" w:hAnsi="宋体" w:eastAsia="仿宋_GB2312" w:cs="仿宋_GB2312"/>
          <w:color w:val="000000"/>
          <w:kern w:val="0"/>
          <w:sz w:val="32"/>
          <w:szCs w:val="32"/>
        </w:rPr>
        <w:t>进一步科学规范政府信息分类，及时公开和更新政府信息，拓展与公众互动渠道，主动接受社会监督</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促进工作的规范化、常态化</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仿宋_GB2312"/>
          <w:color w:val="000000"/>
          <w:kern w:val="0"/>
          <w:sz w:val="32"/>
          <w:szCs w:val="32"/>
        </w:rPr>
      </w:pPr>
      <w:r>
        <w:rPr>
          <w:rFonts w:hint="eastAsia" w:ascii="楷体_GB2312" w:hAnsi="宋体" w:eastAsia="楷体_GB2312" w:cs="楷体_GB2312"/>
          <w:b/>
          <w:bCs/>
          <w:color w:val="000000"/>
          <w:kern w:val="0"/>
          <w:sz w:val="32"/>
          <w:szCs w:val="32"/>
        </w:rPr>
        <w:t>二是选取形式多样的信息公开方式</w:t>
      </w:r>
      <w:r>
        <w:rPr>
          <w:rFonts w:hint="eastAsia" w:ascii="楷体_GB2312" w:hAnsi="宋体" w:eastAsia="楷体_GB2312" w:cs="楷体_GB2312"/>
          <w:b/>
          <w:bCs/>
          <w:color w:val="000000"/>
          <w:kern w:val="0"/>
          <w:sz w:val="32"/>
          <w:szCs w:val="32"/>
          <w:lang w:eastAsia="zh-CN"/>
        </w:rPr>
        <w:t>。</w:t>
      </w:r>
      <w:r>
        <w:rPr>
          <w:rFonts w:hint="eastAsia" w:ascii="仿宋_GB2312" w:hAnsi="宋体" w:eastAsia="仿宋_GB2312" w:cs="仿宋_GB2312"/>
          <w:color w:val="000000"/>
          <w:kern w:val="0"/>
          <w:sz w:val="32"/>
          <w:szCs w:val="32"/>
          <w:lang w:eastAsia="zh-CN"/>
        </w:rPr>
        <w:t>依托</w:t>
      </w:r>
      <w:r>
        <w:rPr>
          <w:rFonts w:hint="eastAsia" w:ascii="仿宋_GB2312" w:hAnsi="宋体" w:eastAsia="仿宋_GB2312" w:cs="仿宋_GB2312"/>
          <w:color w:val="000000"/>
          <w:kern w:val="0"/>
          <w:sz w:val="32"/>
          <w:szCs w:val="32"/>
          <w:lang w:val="en-US" w:eastAsia="zh-CN"/>
        </w:rPr>
        <w:t>县</w:t>
      </w:r>
      <w:r>
        <w:rPr>
          <w:rFonts w:hint="eastAsia" w:ascii="仿宋_GB2312" w:hAnsi="宋体" w:eastAsia="仿宋_GB2312" w:cs="仿宋_GB2312"/>
          <w:color w:val="000000"/>
          <w:kern w:val="0"/>
          <w:sz w:val="32"/>
          <w:szCs w:val="32"/>
          <w:lang w:eastAsia="zh-CN"/>
        </w:rPr>
        <w:t>政府信息公开平台，及时公布需要社会公众广泛知晓的政府信息。</w:t>
      </w:r>
      <w:r>
        <w:rPr>
          <w:rFonts w:hint="eastAsia" w:ascii="仿宋_GB2312" w:hAnsi="宋体" w:eastAsia="仿宋_GB2312" w:cs="仿宋_GB2312"/>
          <w:color w:val="000000"/>
          <w:kern w:val="0"/>
          <w:sz w:val="32"/>
          <w:szCs w:val="32"/>
        </w:rPr>
        <w:t>充分发挥政务新媒体</w:t>
      </w:r>
      <w:r>
        <w:rPr>
          <w:rFonts w:hint="eastAsia" w:ascii="仿宋_GB2312" w:hAnsi="宋体" w:eastAsia="仿宋_GB2312" w:cs="仿宋_GB2312"/>
          <w:color w:val="000000"/>
          <w:kern w:val="0"/>
          <w:sz w:val="32"/>
          <w:szCs w:val="32"/>
          <w:lang w:val="en-US" w:eastAsia="zh-CN"/>
        </w:rPr>
        <w:t>优势，方便社会公众获取政府信息，</w:t>
      </w:r>
      <w:r>
        <w:rPr>
          <w:rFonts w:hint="eastAsia" w:ascii="仿宋_GB2312" w:hAnsi="宋体" w:eastAsia="仿宋_GB2312" w:cs="仿宋_GB2312"/>
          <w:color w:val="000000"/>
          <w:kern w:val="0"/>
          <w:sz w:val="32"/>
          <w:szCs w:val="32"/>
        </w:rPr>
        <w:t>加大宣传工作，畅通公开渠道，方便群众获取政府信息，提高群众对政务信息公开的知晓率。</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楷体_GB2312" w:hAnsi="宋体" w:eastAsia="楷体_GB2312" w:cs="楷体_GB2312"/>
          <w:b/>
          <w:bCs/>
          <w:color w:val="000000"/>
          <w:kern w:val="0"/>
          <w:sz w:val="32"/>
          <w:szCs w:val="32"/>
        </w:rPr>
        <w:t>三是加强信息公开工作检查</w:t>
      </w:r>
      <w:r>
        <w:rPr>
          <w:rFonts w:hint="eastAsia" w:ascii="楷体_GB2312" w:hAnsi="宋体" w:eastAsia="楷体_GB2312" w:cs="楷体_GB2312"/>
          <w:b/>
          <w:bCs/>
          <w:color w:val="000000"/>
          <w:kern w:val="0"/>
          <w:sz w:val="32"/>
          <w:szCs w:val="32"/>
          <w:lang w:val="en-US" w:eastAsia="zh-CN"/>
        </w:rPr>
        <w:t>审核</w:t>
      </w:r>
      <w:r>
        <w:rPr>
          <w:rFonts w:hint="eastAsia" w:ascii="楷体_GB2312" w:hAnsi="宋体" w:eastAsia="楷体_GB2312" w:cs="楷体_GB2312"/>
          <w:b/>
          <w:bCs/>
          <w:color w:val="000000"/>
          <w:kern w:val="0"/>
          <w:sz w:val="32"/>
          <w:szCs w:val="32"/>
          <w:lang w:eastAsia="zh-CN"/>
        </w:rPr>
        <w:t>。</w:t>
      </w:r>
      <w:r>
        <w:rPr>
          <w:rFonts w:hint="eastAsia" w:ascii="仿宋_GB2312" w:hAnsi="宋体" w:eastAsia="仿宋_GB2312" w:cs="仿宋_GB2312"/>
          <w:color w:val="000000"/>
          <w:kern w:val="0"/>
          <w:sz w:val="32"/>
          <w:szCs w:val="32"/>
        </w:rPr>
        <w:t>按照县政府</w:t>
      </w:r>
      <w:r>
        <w:rPr>
          <w:rFonts w:hint="eastAsia" w:ascii="仿宋_GB2312" w:hAnsi="宋体" w:eastAsia="仿宋_GB2312" w:cs="仿宋_GB2312"/>
          <w:color w:val="000000"/>
          <w:kern w:val="0"/>
          <w:sz w:val="32"/>
          <w:szCs w:val="32"/>
          <w:lang w:eastAsia="zh-CN"/>
        </w:rPr>
        <w:t>的</w:t>
      </w:r>
      <w:r>
        <w:rPr>
          <w:rFonts w:hint="eastAsia" w:ascii="仿宋_GB2312" w:hAnsi="宋体" w:eastAsia="仿宋_GB2312" w:cs="仿宋_GB2312"/>
          <w:color w:val="000000"/>
          <w:kern w:val="0"/>
          <w:sz w:val="32"/>
          <w:szCs w:val="32"/>
          <w:lang w:val="en-US" w:eastAsia="zh-CN"/>
        </w:rPr>
        <w:t>相关</w:t>
      </w:r>
      <w:r>
        <w:rPr>
          <w:rFonts w:hint="eastAsia" w:ascii="仿宋_GB2312" w:hAnsi="宋体" w:eastAsia="仿宋_GB2312" w:cs="仿宋_GB2312"/>
          <w:color w:val="000000"/>
          <w:kern w:val="0"/>
          <w:sz w:val="32"/>
          <w:szCs w:val="32"/>
        </w:rPr>
        <w:t>要求，加强管理，逐步健全政府信息公开工作机制，加强信息公开工作人员的专业培训，不断提高相关人员的政策把握能力、舆情研判能力、解疑释惑能力和回应引导能力，打造工作作风实、业务能力强的信息公开人才队伍。加强信息筛选、发布等工作，</w:t>
      </w:r>
      <w:r>
        <w:rPr>
          <w:rFonts w:hint="eastAsia" w:ascii="仿宋_GB2312" w:hAnsi="宋体" w:eastAsia="仿宋_GB2312" w:cs="仿宋_GB2312"/>
          <w:color w:val="000000"/>
          <w:kern w:val="0"/>
          <w:sz w:val="32"/>
          <w:szCs w:val="32"/>
          <w:lang w:val="en-US" w:eastAsia="zh-CN"/>
        </w:rPr>
        <w:t>信息发布前</w:t>
      </w:r>
      <w:r>
        <w:rPr>
          <w:rFonts w:hint="eastAsia" w:ascii="仿宋_GB2312" w:hAnsi="宋体" w:eastAsia="仿宋_GB2312" w:cs="仿宋_GB2312"/>
          <w:color w:val="000000"/>
          <w:kern w:val="0"/>
          <w:sz w:val="32"/>
          <w:szCs w:val="32"/>
        </w:rPr>
        <w:t>核查错敏字现象，保证及时更新、上传全面、准确、优质的政府信息。</w:t>
      </w:r>
    </w:p>
    <w:p>
      <w:pPr>
        <w:widowControl/>
        <w:spacing w:line="560" w:lineRule="exact"/>
        <w:ind w:firstLine="630"/>
        <w:jc w:val="left"/>
        <w:rPr>
          <w:rFonts w:ascii="宋体" w:cs="Times New Roman"/>
          <w:color w:val="000000"/>
          <w:sz w:val="24"/>
          <w:szCs w:val="24"/>
        </w:rPr>
      </w:pPr>
      <w:r>
        <w:rPr>
          <w:rFonts w:hint="eastAsia" w:ascii="黑体" w:hAnsi="宋体" w:eastAsia="黑体" w:cs="黑体"/>
          <w:color w:val="000000"/>
          <w:kern w:val="0"/>
          <w:sz w:val="32"/>
          <w:szCs w:val="32"/>
        </w:rPr>
        <w:t>六、其他需要报告的事项</w:t>
      </w:r>
    </w:p>
    <w:p>
      <w:pPr>
        <w:widowControl/>
        <w:spacing w:line="560" w:lineRule="exact"/>
        <w:ind w:firstLine="640"/>
        <w:jc w:val="left"/>
        <w:rPr>
          <w:rFonts w:ascii="宋体" w:cs="Times New Roman"/>
          <w:color w:val="000000"/>
          <w:sz w:val="24"/>
          <w:szCs w:val="24"/>
        </w:rPr>
      </w:pPr>
      <w:r>
        <w:rPr>
          <w:rFonts w:hint="eastAsia" w:ascii="仿宋_GB2312" w:hAnsi="宋体" w:eastAsia="仿宋_GB2312" w:cs="仿宋_GB2312"/>
          <w:color w:val="000000"/>
          <w:kern w:val="0"/>
          <w:sz w:val="32"/>
          <w:szCs w:val="32"/>
        </w:rPr>
        <w:t>严格依据《政府信息公开信息处理费管理办法》（国办函〔</w:t>
      </w:r>
      <w:r>
        <w:rPr>
          <w:rFonts w:ascii="仿宋_GB2312" w:hAnsi="宋体" w:eastAsia="仿宋_GB2312" w:cs="仿宋_GB2312"/>
          <w:color w:val="000000"/>
          <w:kern w:val="0"/>
          <w:sz w:val="32"/>
          <w:szCs w:val="32"/>
        </w:rPr>
        <w:t>2020</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109</w:t>
      </w:r>
      <w:r>
        <w:rPr>
          <w:rFonts w:hint="eastAsia" w:ascii="仿宋_GB2312" w:hAnsi="宋体" w:eastAsia="仿宋_GB2312" w:cs="仿宋_GB2312"/>
          <w:color w:val="000000"/>
          <w:kern w:val="0"/>
          <w:sz w:val="32"/>
          <w:szCs w:val="32"/>
        </w:rPr>
        <w:t>号）《财政部办公厅关于政府信息公开信息处理费收入收缴管理有关事宜的通知》（财办库〔</w:t>
      </w:r>
      <w:r>
        <w:rPr>
          <w:rFonts w:ascii="仿宋_GB2312" w:hAnsi="宋体" w:eastAsia="仿宋_GB2312" w:cs="仿宋_GB2312"/>
          <w:color w:val="000000"/>
          <w:kern w:val="0"/>
          <w:sz w:val="32"/>
          <w:szCs w:val="32"/>
        </w:rPr>
        <w:t>2020</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254</w:t>
      </w:r>
      <w:r>
        <w:rPr>
          <w:rFonts w:hint="eastAsia" w:ascii="仿宋_GB2312" w:hAnsi="宋体" w:eastAsia="仿宋_GB2312" w:cs="仿宋_GB2312"/>
          <w:color w:val="000000"/>
          <w:kern w:val="0"/>
          <w:sz w:val="32"/>
          <w:szCs w:val="32"/>
        </w:rPr>
        <w:t>号）和《福建省非税收入管理办法》（省政府令第</w:t>
      </w:r>
      <w:r>
        <w:rPr>
          <w:rFonts w:ascii="仿宋_GB2312" w:hAnsi="宋体" w:eastAsia="仿宋_GB2312" w:cs="仿宋_GB2312"/>
          <w:color w:val="000000"/>
          <w:kern w:val="0"/>
          <w:sz w:val="32"/>
          <w:szCs w:val="32"/>
        </w:rPr>
        <w:t>153</w:t>
      </w:r>
      <w:r>
        <w:rPr>
          <w:rFonts w:hint="eastAsia" w:ascii="仿宋_GB2312" w:hAnsi="宋体" w:eastAsia="仿宋_GB2312" w:cs="仿宋_GB2312"/>
          <w:color w:val="000000"/>
          <w:kern w:val="0"/>
          <w:sz w:val="32"/>
          <w:szCs w:val="32"/>
        </w:rPr>
        <w:t>号）等文件要求，做好信息处理费收缴管理工作。</w:t>
      </w:r>
      <w:r>
        <w:rPr>
          <w:rFonts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lang w:val="en-US" w:eastAsia="zh-CN"/>
        </w:rPr>
        <w:t>3</w:t>
      </w:r>
      <w:r>
        <w:rPr>
          <w:rFonts w:hint="eastAsia"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lang w:val="en-US" w:eastAsia="zh-CN"/>
        </w:rPr>
        <w:t>，</w:t>
      </w:r>
      <w:r>
        <w:rPr>
          <w:rFonts w:hint="eastAsia" w:ascii="仿宋_GB2312" w:hAnsi="宋体" w:eastAsia="仿宋_GB2312" w:cs="仿宋_GB2312"/>
          <w:color w:val="000000"/>
          <w:kern w:val="0"/>
          <w:sz w:val="32"/>
          <w:szCs w:val="32"/>
          <w:lang w:eastAsia="zh-CN"/>
        </w:rPr>
        <w:t>本机关</w:t>
      </w:r>
      <w:r>
        <w:rPr>
          <w:rFonts w:hint="eastAsia" w:ascii="仿宋_GB2312" w:hAnsi="宋体" w:eastAsia="仿宋_GB2312" w:cs="仿宋_GB2312"/>
          <w:color w:val="000000"/>
          <w:kern w:val="0"/>
          <w:sz w:val="32"/>
          <w:szCs w:val="32"/>
        </w:rPr>
        <w:t>未收取政府信息处理费。</w:t>
      </w:r>
    </w:p>
    <w:p>
      <w:pPr>
        <w:widowControl/>
        <w:shd w:val="clear" w:color="auto" w:fill="FFFFFF"/>
        <w:spacing w:before="225" w:after="225" w:line="500" w:lineRule="exact"/>
        <w:ind w:firstLine="640"/>
        <w:jc w:val="left"/>
        <w:rPr>
          <w:rFonts w:hint="eastAsia" w:ascii="仿宋_GB2312" w:hAnsi="仿宋_GB2312" w:eastAsia="仿宋_GB2312" w:cs="仿宋_GB2312"/>
          <w:color w:val="000000"/>
          <w:sz w:val="32"/>
          <w:szCs w:val="32"/>
          <w:shd w:val="clear" w:color="auto" w:fill="FFFFFF"/>
        </w:rPr>
      </w:pPr>
    </w:p>
    <w:p>
      <w:pPr>
        <w:widowControl/>
        <w:shd w:val="clear" w:color="auto" w:fill="FFFFFF"/>
        <w:spacing w:before="225" w:after="225" w:line="500" w:lineRule="exact"/>
        <w:ind w:firstLine="640"/>
        <w:jc w:val="left"/>
        <w:rPr>
          <w:rFonts w:hint="eastAsia" w:ascii="仿宋_GB2312" w:hAnsi="仿宋_GB2312" w:eastAsia="仿宋_GB2312" w:cs="仿宋_GB2312"/>
          <w:color w:val="000000"/>
          <w:sz w:val="32"/>
          <w:szCs w:val="32"/>
          <w:shd w:val="clear" w:color="auto" w:fill="FFFFFF"/>
        </w:rPr>
      </w:pPr>
    </w:p>
    <w:p>
      <w:pPr>
        <w:widowControl/>
        <w:shd w:val="clear" w:color="auto" w:fill="FFFFFF"/>
        <w:spacing w:before="225" w:after="225" w:line="500" w:lineRule="exact"/>
        <w:ind w:firstLine="3840" w:firstLineChars="1200"/>
        <w:jc w:val="right"/>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安溪县</w:t>
      </w:r>
      <w:r>
        <w:rPr>
          <w:rFonts w:hint="eastAsia" w:ascii="仿宋_GB2312" w:hAnsi="仿宋_GB2312" w:eastAsia="仿宋_GB2312" w:cs="仿宋_GB2312"/>
          <w:color w:val="000000"/>
          <w:sz w:val="32"/>
          <w:szCs w:val="32"/>
          <w:shd w:val="clear" w:color="auto" w:fill="FFFFFF"/>
          <w:lang w:val="en-US" w:eastAsia="zh-CN"/>
        </w:rPr>
        <w:t>凤城镇人民政府</w:t>
      </w:r>
    </w:p>
    <w:p>
      <w:pPr>
        <w:widowControl/>
        <w:shd w:val="clear" w:color="auto" w:fill="FFFFFF"/>
        <w:wordWrap w:val="0"/>
        <w:spacing w:before="225" w:after="225" w:line="500" w:lineRule="exact"/>
        <w:ind w:firstLine="320" w:firstLineChars="100"/>
        <w:jc w:val="right"/>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 xml:space="preserve">                           202</w:t>
      </w:r>
      <w:r>
        <w:rPr>
          <w:rFonts w:hint="eastAsia" w:ascii="仿宋_GB2312" w:hAnsi="仿宋_GB2312" w:eastAsia="仿宋_GB2312" w:cs="仿宋_GB2312"/>
          <w:color w:val="000000"/>
          <w:sz w:val="32"/>
          <w:szCs w:val="32"/>
          <w:shd w:val="clear" w:color="auto" w:fill="FFFFFF"/>
          <w:lang w:val="en-US" w:eastAsia="zh-CN"/>
        </w:rPr>
        <w:t>4</w:t>
      </w:r>
      <w:bookmarkStart w:id="0" w:name="_GoBack"/>
      <w:bookmarkEnd w:id="0"/>
      <w:r>
        <w:rPr>
          <w:rFonts w:hint="eastAsia" w:ascii="仿宋_GB2312" w:hAnsi="仿宋_GB2312" w:eastAsia="仿宋_GB2312" w:cs="仿宋_GB2312"/>
          <w:color w:val="000000"/>
          <w:sz w:val="32"/>
          <w:szCs w:val="32"/>
          <w:shd w:val="clear" w:color="auto" w:fill="FFFFFF"/>
        </w:rPr>
        <w:t>年1月</w:t>
      </w:r>
      <w:r>
        <w:rPr>
          <w:rFonts w:hint="eastAsia" w:ascii="仿宋_GB2312" w:hAnsi="仿宋_GB2312" w:eastAsia="仿宋_GB2312" w:cs="仿宋_GB2312"/>
          <w:color w:val="000000"/>
          <w:sz w:val="32"/>
          <w:szCs w:val="32"/>
          <w:shd w:val="clear" w:color="auto" w:fill="FFFFFF"/>
          <w:lang w:val="en-US" w:eastAsia="zh-CN"/>
        </w:rPr>
        <w:t>17</w:t>
      </w:r>
      <w:r>
        <w:rPr>
          <w:rFonts w:hint="eastAsia" w:ascii="仿宋_GB2312" w:hAnsi="仿宋_GB2312" w:eastAsia="仿宋_GB2312" w:cs="仿宋_GB2312"/>
          <w:color w:val="000000"/>
          <w:sz w:val="32"/>
          <w:szCs w:val="32"/>
          <w:shd w:val="clear" w:color="auto" w:fill="FFFFFF"/>
        </w:rPr>
        <w:t>日</w:t>
      </w:r>
      <w:r>
        <w:rPr>
          <w:rFonts w:hint="eastAsia" w:ascii="仿宋_GB2312" w:hAnsi="仿宋_GB2312" w:eastAsia="仿宋_GB2312" w:cs="仿宋_GB2312"/>
          <w:color w:val="000000"/>
          <w:sz w:val="32"/>
          <w:szCs w:val="32"/>
          <w:shd w:val="clear" w:color="auto" w:fill="FFFFFF"/>
          <w:lang w:val="en-US" w:eastAsia="zh-CN"/>
        </w:rPr>
        <w:t xml:space="preserve">  </w:t>
      </w:r>
    </w:p>
    <w:p>
      <w:pPr>
        <w:widowControl/>
        <w:spacing w:line="560" w:lineRule="exact"/>
        <w:jc w:val="left"/>
        <w:rPr>
          <w:rFonts w:hint="eastAsia" w:ascii="仿宋_GB2312" w:hAnsi="宋体" w:eastAsia="仿宋_GB2312" w:cs="仿宋_GB2312"/>
          <w:color w:val="000000"/>
          <w:kern w:val="0"/>
          <w:sz w:val="32"/>
          <w:szCs w:val="32"/>
        </w:rPr>
      </w:pPr>
    </w:p>
    <w:p>
      <w:pPr>
        <w:widowControl/>
        <w:spacing w:line="560" w:lineRule="exact"/>
        <w:jc w:val="left"/>
        <w:rPr>
          <w:rFonts w:ascii="宋体" w:cs="Times New Roman"/>
          <w:color w:val="000000"/>
          <w:sz w:val="24"/>
          <w:szCs w:val="24"/>
        </w:rPr>
      </w:pPr>
      <w:r>
        <w:rPr>
          <w:rFonts w:hint="eastAsia" w:ascii="仿宋_GB2312" w:hAnsi="宋体" w:eastAsia="仿宋_GB2312" w:cs="仿宋_GB2312"/>
          <w:color w:val="000000"/>
          <w:kern w:val="0"/>
          <w:sz w:val="32"/>
          <w:szCs w:val="32"/>
        </w:rPr>
        <w:t>（此件公开发布）</w:t>
      </w:r>
    </w:p>
    <w:p>
      <w:pPr>
        <w:rPr>
          <w:rFonts w:ascii="仿宋_GB2312" w:hAnsi="仿宋_GB2312" w:eastAsia="仿宋_GB2312" w:cs="Times New Roman"/>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EDA0A6-74D1-4143-8D3C-9A78285B67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FF4E2B28-FD19-47C1-91CC-8151AFAD57A9}"/>
  </w:font>
  <w:font w:name="仿宋_GB2312">
    <w:panose1 w:val="02010609030101010101"/>
    <w:charset w:val="86"/>
    <w:family w:val="modern"/>
    <w:pitch w:val="default"/>
    <w:sig w:usb0="00000001" w:usb1="080E0000" w:usb2="00000000" w:usb3="00000000" w:csb0="00040000" w:csb1="00000000"/>
    <w:embedRegular r:id="rId3" w:fontKey="{8CAC524D-EAB4-4E01-9A50-7667268B81DB}"/>
  </w:font>
  <w:font w:name="楷体_GB2312">
    <w:panose1 w:val="02010609030101010101"/>
    <w:charset w:val="86"/>
    <w:family w:val="modern"/>
    <w:pitch w:val="default"/>
    <w:sig w:usb0="00000001" w:usb1="080E0000" w:usb2="00000000" w:usb3="00000000" w:csb0="00040000" w:csb1="00000000"/>
    <w:embedRegular r:id="rId4" w:fontKey="{F4CBD7F0-4C2E-448E-A4F0-FB3EAFFF00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U5YTJlNzE3MzI0YWUwNjQ4NGZlMTc1MmE2NmNkZjkifQ=="/>
  </w:docVars>
  <w:rsids>
    <w:rsidRoot w:val="0C2F7BCE"/>
    <w:rsid w:val="000221F8"/>
    <w:rsid w:val="00326AAD"/>
    <w:rsid w:val="00A055E2"/>
    <w:rsid w:val="00AA2E1E"/>
    <w:rsid w:val="00D50BD9"/>
    <w:rsid w:val="00E86FF0"/>
    <w:rsid w:val="0C2F7BCE"/>
    <w:rsid w:val="13BE71DA"/>
    <w:rsid w:val="173C0FBE"/>
    <w:rsid w:val="17440CF9"/>
    <w:rsid w:val="19896E7F"/>
    <w:rsid w:val="216A5C29"/>
    <w:rsid w:val="33EA8656"/>
    <w:rsid w:val="34C957E7"/>
    <w:rsid w:val="3871765B"/>
    <w:rsid w:val="39E7ADB4"/>
    <w:rsid w:val="3DC22C57"/>
    <w:rsid w:val="3F3F002C"/>
    <w:rsid w:val="3FDFEA4A"/>
    <w:rsid w:val="3FEE84BE"/>
    <w:rsid w:val="42621EFB"/>
    <w:rsid w:val="45846DB5"/>
    <w:rsid w:val="47205AC6"/>
    <w:rsid w:val="4D21275B"/>
    <w:rsid w:val="5CEEE9F1"/>
    <w:rsid w:val="5D7F5FDF"/>
    <w:rsid w:val="5FFB48EC"/>
    <w:rsid w:val="603F5015"/>
    <w:rsid w:val="6A647868"/>
    <w:rsid w:val="6A747D08"/>
    <w:rsid w:val="6D116461"/>
    <w:rsid w:val="6D1A42CD"/>
    <w:rsid w:val="6EFDBE7A"/>
    <w:rsid w:val="6EFE945E"/>
    <w:rsid w:val="6F6D8FA8"/>
    <w:rsid w:val="77CF8522"/>
    <w:rsid w:val="7B865DB3"/>
    <w:rsid w:val="7F69287E"/>
    <w:rsid w:val="7FAB6FFC"/>
    <w:rsid w:val="7FBEAC28"/>
    <w:rsid w:val="ECF6BDAF"/>
    <w:rsid w:val="EEF72B96"/>
    <w:rsid w:val="F9199AB9"/>
    <w:rsid w:val="FEEEE636"/>
    <w:rsid w:val="FEFA70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autoRedefine/>
    <w:semiHidden/>
    <w:qFormat/>
    <w:uiPriority w:val="99"/>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sz w:val="18"/>
      <w:szCs w:val="18"/>
    </w:rPr>
  </w:style>
  <w:style w:type="paragraph" w:styleId="3">
    <w:name w:val="header"/>
    <w:basedOn w:val="1"/>
    <w:link w:val="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autoRedefine/>
    <w:qFormat/>
    <w:uiPriority w:val="99"/>
    <w:pPr>
      <w:spacing w:beforeAutospacing="1" w:afterAutospacing="1"/>
      <w:jc w:val="left"/>
    </w:pPr>
    <w:rPr>
      <w:kern w:val="0"/>
      <w:sz w:val="24"/>
      <w:szCs w:val="24"/>
    </w:rPr>
  </w:style>
  <w:style w:type="character" w:customStyle="1" w:styleId="7">
    <w:name w:val="Footer Char"/>
    <w:basedOn w:val="6"/>
    <w:link w:val="2"/>
    <w:autoRedefine/>
    <w:semiHidden/>
    <w:qFormat/>
    <w:uiPriority w:val="99"/>
    <w:rPr>
      <w:rFonts w:ascii="Calibri" w:hAnsi="Calibri" w:cs="Calibri"/>
      <w:sz w:val="18"/>
      <w:szCs w:val="18"/>
    </w:rPr>
  </w:style>
  <w:style w:type="character" w:customStyle="1" w:styleId="8">
    <w:name w:val="Header Char"/>
    <w:basedOn w:val="6"/>
    <w:link w:val="3"/>
    <w:autoRedefine/>
    <w:semiHidden/>
    <w:qFormat/>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微软公司</Company>
  <Pages>7</Pages>
  <Words>487</Words>
  <Characters>2780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2022-05-10T18:00:00Z</dcterms:created>
  <dc:creator>Administrator</dc:creator>
  <cp:lastModifiedBy>终风</cp:lastModifiedBy>
  <dcterms:modified xsi:type="dcterms:W3CDTF">2024-01-17T12:27:41Z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4FA13B53328E4810B75F03BD45233063</vt:lpwstr>
  </property>
</Properties>
</file>