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kern w:val="0"/>
          <w:sz w:val="32"/>
          <w:szCs w:val="32"/>
        </w:rPr>
      </w:pPr>
      <w:bookmarkStart w:id="0" w:name="_GoBack"/>
      <w:r>
        <w:rPr>
          <w:rFonts w:hAnsi="宋体" w:eastAsia="黑体"/>
          <w:kern w:val="0"/>
          <w:sz w:val="32"/>
          <w:szCs w:val="32"/>
          <w:lang w:bidi="ar"/>
        </w:rPr>
        <w:t>附件</w:t>
      </w:r>
      <w:r>
        <w:rPr>
          <w:rFonts w:eastAsia="黑体"/>
          <w:kern w:val="0"/>
          <w:sz w:val="32"/>
          <w:szCs w:val="32"/>
          <w:lang w:bidi="ar"/>
        </w:rPr>
        <w:t>1</w:t>
      </w:r>
    </w:p>
    <w:bookmarkEnd w:id="0"/>
    <w:tbl>
      <w:tblPr>
        <w:tblStyle w:val="3"/>
        <w:tblW w:w="96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90"/>
        <w:gridCol w:w="2660"/>
        <w:gridCol w:w="1374"/>
        <w:gridCol w:w="3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5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bidi="ar"/>
              </w:rPr>
              <w:t>生产、经营、租住场所重大火灾风险排查表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sz w:val="28"/>
                <w:szCs w:val="28"/>
                <w:lang w:bidi="ar"/>
              </w:rPr>
              <w:t>村居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sz w:val="28"/>
                <w:szCs w:val="28"/>
                <w:lang w:bidi="ar"/>
              </w:rPr>
              <w:t>委会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sz w:val="28"/>
                <w:szCs w:val="28"/>
                <w:lang w:bidi="ar"/>
              </w:rPr>
              <w:t>排查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场所名称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地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业主姓名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8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b/>
                <w:color w:val="000000"/>
                <w:kern w:val="0"/>
                <w:sz w:val="24"/>
                <w:lang w:bidi="ar"/>
              </w:rPr>
              <w:t>基本情况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（是否属自建房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使用功能：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hAnsi="Wingdings 2" w:eastAsia="仿宋_GB2312" w:cs="Wingdings 2"/>
                <w:color w:val="000000"/>
                <w:kern w:val="0"/>
                <w:sz w:val="24"/>
                <w:lang w:bidi="ar"/>
              </w:rPr>
              <w:t>£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生产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经营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租住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混合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建筑层数：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建筑面积：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房屋间数：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工作人员数量：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住宿人员数量：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</w:p>
          <w:p>
            <w:pPr>
              <w:widowControl/>
              <w:spacing w:line="560" w:lineRule="exac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电动车停放、充电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widowControl/>
              <w:spacing w:line="560" w:lineRule="exac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sz w:val="24"/>
                <w:lang w:bidi="ar"/>
              </w:rPr>
              <w:t>使用瓶装液化石油气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</w:p>
          <w:p>
            <w:pPr>
              <w:widowControl/>
              <w:spacing w:line="560" w:lineRule="exac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sz w:val="24"/>
                <w:lang w:bidi="ar"/>
              </w:rPr>
              <w:t>易燃易爆危险品生产、储存、销售、使用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有</w:t>
            </w:r>
          </w:p>
          <w:p>
            <w:pPr>
              <w:widowControl/>
              <w:spacing w:line="560" w:lineRule="exac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防盗网、广告牌、铁栅栏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无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56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b/>
                <w:color w:val="000000"/>
                <w:kern w:val="0"/>
                <w:sz w:val="24"/>
                <w:lang w:bidi="ar"/>
              </w:rPr>
              <w:t>消防设施、器材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>□</w:t>
            </w:r>
            <w:r>
              <w:rPr>
                <w:rStyle w:val="5"/>
                <w:rFonts w:hint="default" w:ascii="仿宋_GB2312" w:hAnsi="方正仿宋_GBK" w:eastAsia="仿宋_GB2312" w:cs="Times New Roman"/>
                <w:lang w:bidi="ar"/>
              </w:rPr>
              <w:t>安全出口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仿宋_GB2312" w:hAnsi="方正仿宋_GBK" w:eastAsia="仿宋_GB2312" w:cs="Times New Roman"/>
                <w:lang w:bidi="ar"/>
              </w:rPr>
              <w:t>数量：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 xml:space="preserve">   □</w:t>
            </w:r>
            <w:r>
              <w:rPr>
                <w:rStyle w:val="5"/>
                <w:rFonts w:hint="default" w:ascii="仿宋_GB2312" w:hAnsi="方正仿宋_GBK" w:eastAsia="仿宋_GB2312" w:cs="Times New Roman"/>
                <w:lang w:bidi="ar"/>
              </w:rPr>
              <w:t>疏散楼梯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仿宋_GB2312" w:hAnsi="方正仿宋_GBK" w:eastAsia="仿宋_GB2312" w:cs="Times New Roman"/>
                <w:lang w:bidi="ar"/>
              </w:rPr>
              <w:t>数量：</w:t>
            </w:r>
            <w:r>
              <w:rPr>
                <w:rStyle w:val="5"/>
                <w:rFonts w:hint="default" w:ascii="仿宋_GB2312" w:hAnsi="Times New Roman" w:eastAsia="仿宋_GB2312" w:cs="Times New Roman"/>
                <w:u w:val="single"/>
                <w:lang w:bidi="ar"/>
              </w:rPr>
              <w:t xml:space="preserve">               </w:t>
            </w:r>
          </w:p>
          <w:p>
            <w:pPr>
              <w:widowControl/>
              <w:spacing w:line="56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室内消火栓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应急照明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疏散指示标志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>□</w:t>
            </w:r>
            <w:r>
              <w:rPr>
                <w:rStyle w:val="5"/>
                <w:rFonts w:hint="default" w:ascii="仿宋_GB2312" w:hAnsi="方正仿宋_GBK" w:eastAsia="仿宋_GB2312" w:cs="Times New Roman"/>
                <w:lang w:bidi="ar"/>
              </w:rPr>
              <w:t>灭火器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仿宋_GB2312" w:hAnsi="方正仿宋_GBK" w:eastAsia="仿宋_GB2312" w:cs="Times New Roman"/>
                <w:lang w:bidi="ar"/>
              </w:rPr>
              <w:t>种类及其数量：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其他消防设施、器材：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                               </w:t>
            </w:r>
          </w:p>
          <w:p>
            <w:pPr>
              <w:widowControl/>
              <w:spacing w:line="560" w:lineRule="exac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                                                     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8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排查人员签字：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仿宋_GB2312" w:hAnsi="方正黑体_GBK" w:eastAsia="仿宋_GB2312" w:cs="Times New Roman"/>
                <w:lang w:bidi="ar"/>
              </w:rPr>
              <w:t>联系方式：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仿宋_GB2312"/>
                <w:sz w:val="28"/>
                <w:szCs w:val="28"/>
                <w:lang w:bidi="ar"/>
              </w:rPr>
              <w:t>乡镇</w:t>
            </w:r>
          </w:p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仿宋_GB2312"/>
                <w:sz w:val="28"/>
                <w:szCs w:val="28"/>
                <w:lang w:bidi="ar"/>
              </w:rPr>
              <w:t>核查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1.□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使用易燃可燃夹芯彩钢板或其他易燃材料搭建临时房屋。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</w:t>
            </w:r>
            <w:r>
              <w:rPr>
                <w:rFonts w:hint="eastAsia" w:ascii="仿宋_GB2312" w:hAnsi="方正楷体_GBK" w:eastAsia="仿宋_GB2312" w:cs="仿宋_GB2312"/>
                <w:kern w:val="0"/>
                <w:sz w:val="24"/>
                <w:lang w:bidi="ar"/>
              </w:rPr>
              <w:t>拆除易燃可燃夹芯彩钢板或其他易燃材料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2.□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屋顶、围护结构、房间隔墙使用易燃可燃夹芯彩钢板或其他易燃材料。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（整改要求：拆除易燃可燃夹芯彩钢板或其他易燃材料）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3.□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用于生产、经营的场所，居住区域与生产、经营区域未完全防火分隔。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（整改要求：砌墙或安装防火门分隔）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4.□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电动自行车、电动摩托车、电动平衡车及其蓄电池在室内公共区域、疏散走道、楼梯间、安全出口或房间内停放、充电。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（整改要求：搬移至室外）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仿宋_GB2312"/>
                <w:sz w:val="28"/>
                <w:szCs w:val="28"/>
                <w:lang w:bidi="ar"/>
              </w:rPr>
              <w:t>乡镇</w:t>
            </w:r>
          </w:p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sz w:val="28"/>
                <w:szCs w:val="28"/>
                <w:lang w:bidi="ar"/>
              </w:rPr>
              <w:t>核查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5.□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室外集中停放、充电区域及其设置的雨棚与建筑外窗、安全出口直接相邻。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（整改要求：落实防火分隔，拆除违规设置的集中停放、充电雨棚）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6.□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每层建筑面积超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过200平方米的场所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屋顶承重构件和楼板为可燃材料的场所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建筑层数为4层及以上的场所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，疏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散楼梯少于2部，首层安全出口少于2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个。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（整改要求：按要求增设疏散楼梯、安全出口）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7.□外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窗、疏散走道安装防盗网、广告牌、铁栅栏。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（整改要求：拆除防盗网、广告牌、铁栅栏或设置可开启门窗）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8.□用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于租住的场所内设置采用易燃可燃保温材料的冷库、设置液氨制冷剂的冷库，生产、储存、经营易燃易爆危险品的场所设置居住场所。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（整改要求：搬离租住人员）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整改期限：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完成整改：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□</w:t>
            </w: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9.□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已形成生产、经营、租住村（居）民场所集中连片区域。</w:t>
            </w:r>
            <w:r>
              <w:rPr>
                <w:rFonts w:hint="eastAsia" w:ascii="仿宋_GB2312" w:hAnsi="方正楷体_GBK" w:eastAsia="仿宋_GB2312" w:cs="仿宋_GB2312"/>
                <w:color w:val="000000"/>
                <w:kern w:val="0"/>
                <w:sz w:val="24"/>
                <w:lang w:bidi="ar"/>
              </w:rPr>
              <w:t>（整改要求：按上述问题隐患整改要求，由市级督办整改）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10.□其</w:t>
            </w: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他问题：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仿宋_GBK" w:eastAsia="仿宋_GB2312" w:cs="仿宋_GB2312"/>
                <w:color w:val="000000"/>
                <w:kern w:val="0"/>
                <w:sz w:val="24"/>
                <w:lang w:bidi="ar"/>
              </w:rPr>
              <w:t>整改措施：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0"/>
              </w:rPr>
            </w:pPr>
          </w:p>
        </w:tc>
        <w:tc>
          <w:tcPr>
            <w:tcW w:w="8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乡镇名称：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                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核查人员签字：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仿宋_GB2312" w:hAnsi="方正黑体_GBK" w:eastAsia="仿宋_GB2312" w:cs="Times New Roman"/>
                <w:lang w:bidi="ar"/>
              </w:rPr>
              <w:t>联系方式：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仿宋_GB2312"/>
                <w:sz w:val="28"/>
                <w:szCs w:val="28"/>
                <w:lang w:bidi="ar"/>
              </w:rPr>
              <w:t>整改</w:t>
            </w:r>
          </w:p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仿宋_GB2312"/>
                <w:sz w:val="28"/>
                <w:szCs w:val="28"/>
                <w:lang w:bidi="ar"/>
              </w:rPr>
              <w:t>销案</w:t>
            </w:r>
          </w:p>
        </w:tc>
        <w:tc>
          <w:tcPr>
            <w:tcW w:w="8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>□</w:t>
            </w:r>
            <w:r>
              <w:rPr>
                <w:rStyle w:val="6"/>
                <w:rFonts w:hint="default" w:ascii="仿宋_GB2312" w:hAnsi="方正黑体_GBK" w:eastAsia="仿宋_GB2312" w:cs="Times New Roman"/>
                <w:lang w:bidi="ar"/>
              </w:rPr>
              <w:t>予以销案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□</w:t>
            </w:r>
            <w:r>
              <w:rPr>
                <w:rStyle w:val="6"/>
                <w:rFonts w:hint="default" w:ascii="仿宋_GB2312" w:hAnsi="方正黑体_GBK" w:eastAsia="仿宋_GB2312" w:cs="Times New Roman"/>
                <w:lang w:bidi="ar"/>
              </w:rPr>
              <w:t>不予销案</w:t>
            </w:r>
          </w:p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黑体_GBK" w:eastAsia="仿宋_GB2312" w:cs="仿宋_GB2312"/>
                <w:color w:val="000000"/>
                <w:kern w:val="0"/>
                <w:sz w:val="24"/>
                <w:lang w:bidi="ar"/>
              </w:rPr>
              <w:t>整改责任人员签名：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Style w:val="5"/>
                <w:rFonts w:hint="default" w:ascii="仿宋_GB2312" w:hAnsi="方正黑体_GBK" w:eastAsia="仿宋_GB2312" w:cs="Times New Roman"/>
                <w:lang w:bidi="ar"/>
              </w:rPr>
              <w:t>联系方式：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   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仿宋_GB2312" w:hAnsi="方正黑体_GBK" w:eastAsia="仿宋_GB2312" w:cs="Times New Roman"/>
                <w:lang w:bidi="ar"/>
              </w:rPr>
              <w:t>核查销案人员签名：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</w:t>
            </w:r>
            <w:r>
              <w:rPr>
                <w:rStyle w:val="5"/>
                <w:rFonts w:hint="default" w:ascii="仿宋_GB2312" w:hAnsi="方正黑体_GBK" w:eastAsia="仿宋_GB2312" w:cs="Times New Roman"/>
                <w:lang w:bidi="ar"/>
              </w:rPr>
              <w:t>联系方式：</w:t>
            </w:r>
            <w:r>
              <w:rPr>
                <w:rStyle w:val="6"/>
                <w:rFonts w:hint="default" w:ascii="仿宋_GB2312" w:hAnsi="Times New Roman" w:eastAsia="仿宋_GB2312" w:cs="Times New Roman"/>
                <w:lang w:bidi="ar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仿宋_GB2312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Ansi="宋体" w:eastAsia="黑体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Ansi="宋体" w:eastAsia="黑体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0F6B"/>
    <w:rsid w:val="486E0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17"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6">
    <w:name w:val="18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2022-05-24T08:24:00Z</dcterms:created>
  <dc:creator>扬</dc:creator>
  <cp:lastModifiedBy>扬</cp:lastModifiedBy>
  <dcterms:modified xsi:type="dcterms:W3CDTF">2022-05-24T08:26:11Z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E1EE2718AE2A4C1FBD3CB9B95F714799</vt:lpwstr>
  </property>
</Properties>
</file>