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r>
        <w:rPr>
          <w:rFonts w:hAnsi="宋体" w:eastAsia="黑体"/>
          <w:sz w:val="32"/>
          <w:szCs w:val="32"/>
          <w:lang w:bidi="ar"/>
        </w:rPr>
        <w:t>附件</w:t>
      </w:r>
      <w:r>
        <w:rPr>
          <w:rFonts w:eastAsia="黑体"/>
          <w:sz w:val="32"/>
          <w:szCs w:val="32"/>
          <w:lang w:bidi="ar"/>
        </w:rPr>
        <w:t>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  <w:lang w:bidi="ar"/>
        </w:rPr>
        <w:t>生产、经营、租住场所重大火灾风险统计表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  <w:lang w:bidi="ar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□</w:t>
      </w:r>
      <w:r>
        <w:rPr>
          <w:rFonts w:hAnsi="方正小标宋简体" w:eastAsia="方正小标宋简体"/>
          <w:sz w:val="44"/>
          <w:szCs w:val="44"/>
          <w:lang w:bidi="ar"/>
        </w:rPr>
        <w:t>自建房</w:t>
      </w:r>
      <w:r>
        <w:rPr>
          <w:rFonts w:eastAsia="方正小标宋简体"/>
          <w:sz w:val="44"/>
          <w:szCs w:val="44"/>
          <w:lang w:bidi="ar"/>
        </w:rPr>
        <w:t>/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□</w:t>
      </w:r>
      <w:r>
        <w:rPr>
          <w:rFonts w:hAnsi="方正小标宋简体" w:eastAsia="方正小标宋简体"/>
          <w:sz w:val="44"/>
          <w:szCs w:val="44"/>
          <w:lang w:bidi="ar"/>
        </w:rPr>
        <w:t>非自建房）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填报单位：</w:t>
      </w:r>
    </w:p>
    <w:p>
      <w:pPr>
        <w:spacing w:line="560" w:lineRule="exact"/>
        <w:rPr>
          <w:vanish/>
          <w:sz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72"/>
        <w:gridCol w:w="1418"/>
        <w:gridCol w:w="1559"/>
        <w:gridCol w:w="946"/>
        <w:gridCol w:w="1053"/>
        <w:gridCol w:w="1285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排查场所总数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发现隐患数量</w:t>
            </w: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整改隐患数量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生产经营场所</w:t>
            </w:r>
          </w:p>
        </w:tc>
        <w:tc>
          <w:tcPr>
            <w:tcW w:w="4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居住出租场所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数量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数量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住宿10人以下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住宿10（含）30人数量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住宿30（含）—100人数量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住宿100（含）人以上数量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住宿10人以下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住宿10（含）—30人数量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住宿30（含）—100人数量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住宿100（含）人以上数量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风险种类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存在风险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场所数量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已整改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场所数量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使用易燃可燃夹芯彩钢板或易燃材料搭建临时房屋，屋顶、围护结构、房间隔墙使用易燃可燃夹芯彩钢板或易燃材料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用于生产、经营的场所，居住区域与生产、经营区域未完全分隔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电动自行车、电动摩托车、电动平衡车及其蓄电池在公共区域、疏散走道、楼梯间、安全出口或房间内停放、充电；室外集中停放、充电区域与疏散楼梯、安全出口、室内房间未设置有效防火分隔或者与建筑外墙、安全出口直接相邻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每层建筑面积超过200平方米的场所、屋顶承重构件和楼板为可燃材料的场所、建筑层数为4层及以上的场所，疏散楼梯少于2部，首层安全出口少于2个。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外窗、疏散走道安装防盗网、广告牌、铁栅栏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用于租住的场所内设置采用易燃可燃保温材料的冷库、设置液氨制冷剂的冷库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生产、储存、经营易燃易爆危险品的场所设置居住场所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耐火等级为三级及以下（砖木结构或木楼梯、木楼板、木隔断）的场所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场所场院、内院、天井设置顶棚、雨棚等形成封闭空间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电气线路、移动插座直接敷设放置在可燃物上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场所居住房间、地下室、半地下室使用瓶装液化石油气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疏散走道、疏散楼梯间、安全出口处大量堆放易燃可燃物品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未配备灭火器、应急照明、疏散指示标志等消防设施器材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合计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填报人：                联系电话：              审 批 人：</w:t>
      </w:r>
    </w:p>
    <w:p>
      <w:pPr>
        <w:topLinePunct/>
        <w:snapToGrid w:val="0"/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lang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64EBC"/>
    <w:rsid w:val="40064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2022-05-24T08:24:00Z</dcterms:created>
  <dc:creator>扬</dc:creator>
  <cp:lastModifiedBy>扬</cp:lastModifiedBy>
  <dcterms:modified xsi:type="dcterms:W3CDTF">2022-05-24T08:26:24Z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4B76119704FD4DF48559C553C04BAE35</vt:lpwstr>
  </property>
</Properties>
</file>