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rPr>
          <w:rFonts w:hint="eastAsia" w:eastAsia="方正小标宋简体"/>
          <w:sz w:val="44"/>
          <w:szCs w:val="44"/>
          <w:lang w:eastAsia="zh-CN"/>
        </w:rPr>
      </w:pPr>
      <w:r>
        <w:rPr>
          <w:rFonts w:hint="eastAsia" w:eastAsia="方正小标宋简体"/>
          <w:sz w:val="44"/>
          <w:szCs w:val="44"/>
          <w:lang w:eastAsia="zh-CN"/>
        </w:rPr>
        <w:t>龙门镇人民政府办公室</w:t>
      </w:r>
    </w:p>
    <w:p>
      <w:pPr>
        <w:widowControl/>
        <w:shd w:val="clear" w:color="auto" w:fill="FFFFFF"/>
        <w:spacing w:line="600" w:lineRule="exact"/>
        <w:jc w:val="center"/>
        <w:rPr>
          <w:rFonts w:hint="eastAsia" w:eastAsia="方正小标宋简体"/>
          <w:sz w:val="44"/>
          <w:szCs w:val="44"/>
        </w:rPr>
      </w:pPr>
      <w:r>
        <w:rPr>
          <w:rFonts w:hint="eastAsia" w:eastAsia="方正小标宋简体"/>
          <w:sz w:val="44"/>
          <w:szCs w:val="44"/>
        </w:rPr>
        <w:t>20</w:t>
      </w:r>
      <w:r>
        <w:rPr>
          <w:rFonts w:hint="eastAsia" w:eastAsia="方正小标宋简体"/>
          <w:sz w:val="44"/>
          <w:szCs w:val="44"/>
          <w:lang w:val="en-US" w:eastAsia="zh-CN"/>
        </w:rPr>
        <w:t>20</w:t>
      </w:r>
      <w:r>
        <w:rPr>
          <w:rFonts w:hint="eastAsia" w:eastAsia="方正小标宋简体"/>
          <w:sz w:val="44"/>
          <w:szCs w:val="44"/>
        </w:rPr>
        <w:t>年政府信息公开工作年度报告</w:t>
      </w:r>
    </w:p>
    <w:p>
      <w:pPr>
        <w:spacing w:line="600" w:lineRule="exact"/>
        <w:ind w:firstLine="640" w:firstLineChars="200"/>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根据修订后的《中华人民共和国政府信息公开条例》（</w:t>
      </w:r>
      <w:r>
        <w:rPr>
          <w:rFonts w:hint="eastAsia" w:ascii="仿宋_GB2312" w:hAnsi="仿宋_GB2312" w:eastAsia="仿宋_GB2312" w:cs="仿宋_GB2312"/>
          <w:b w:val="0"/>
          <w:bCs w:val="0"/>
          <w:sz w:val="32"/>
          <w:szCs w:val="32"/>
          <w:lang w:eastAsia="zh-CN"/>
        </w:rPr>
        <w:t>国务院令第</w:t>
      </w:r>
      <w:r>
        <w:rPr>
          <w:rFonts w:hint="eastAsia" w:ascii="仿宋_GB2312" w:hAnsi="仿宋_GB2312" w:eastAsia="仿宋_GB2312" w:cs="仿宋_GB2312"/>
          <w:b w:val="0"/>
          <w:bCs w:val="0"/>
          <w:sz w:val="32"/>
          <w:szCs w:val="32"/>
          <w:lang w:val="en-US" w:eastAsia="zh-CN"/>
        </w:rPr>
        <w:t>711号，</w:t>
      </w:r>
      <w:r>
        <w:rPr>
          <w:rFonts w:hint="eastAsia" w:ascii="仿宋_GB2312" w:eastAsia="仿宋_GB2312"/>
          <w:sz w:val="32"/>
          <w:szCs w:val="32"/>
        </w:rPr>
        <w:t>2019年5月15日起施行）《福建省政府信息公开办法》《国务院办公厅关于印发</w:t>
      </w:r>
      <w:r>
        <w:rPr>
          <w:rFonts w:hint="eastAsia" w:ascii="仿宋_GB2312" w:eastAsia="仿宋_GB2312"/>
          <w:sz w:val="32"/>
          <w:szCs w:val="32"/>
          <w:lang w:val="en-US"/>
        </w:rPr>
        <w:t>2020</w:t>
      </w:r>
      <w:r>
        <w:rPr>
          <w:rFonts w:hint="eastAsia" w:ascii="仿宋_GB2312" w:eastAsia="仿宋_GB2312"/>
          <w:sz w:val="32"/>
          <w:szCs w:val="32"/>
        </w:rPr>
        <w:t>年政务公开工作要点的通知》（国办发〔</w:t>
      </w:r>
      <w:r>
        <w:rPr>
          <w:rFonts w:hint="eastAsia" w:ascii="仿宋_GB2312" w:eastAsia="仿宋_GB2312"/>
          <w:sz w:val="32"/>
          <w:szCs w:val="32"/>
          <w:lang w:val="en-US"/>
        </w:rPr>
        <w:t>2020</w:t>
      </w:r>
      <w:r>
        <w:rPr>
          <w:rFonts w:hint="eastAsia" w:ascii="仿宋_GB2312" w:eastAsia="仿宋_GB2312"/>
          <w:sz w:val="32"/>
          <w:szCs w:val="32"/>
        </w:rPr>
        <w:t>〕</w:t>
      </w:r>
      <w:r>
        <w:rPr>
          <w:rFonts w:hint="eastAsia" w:ascii="仿宋_GB2312" w:eastAsia="仿宋_GB2312"/>
          <w:sz w:val="32"/>
          <w:szCs w:val="32"/>
          <w:lang w:val="en-US"/>
        </w:rPr>
        <w:t>17</w:t>
      </w:r>
      <w:r>
        <w:rPr>
          <w:rFonts w:hint="eastAsia" w:ascii="仿宋_GB2312" w:eastAsia="仿宋_GB2312"/>
          <w:sz w:val="32"/>
          <w:szCs w:val="32"/>
        </w:rPr>
        <w:t>号）《福建省人民政府办公厅关于关于全面推进基层政务公开标准化规范化工作的通知》（闽政办〔2020〕26号）</w:t>
      </w:r>
      <w:r>
        <w:rPr>
          <w:rFonts w:hint="eastAsia" w:ascii="仿宋_GB2312" w:eastAsia="仿宋_GB2312"/>
          <w:sz w:val="32"/>
          <w:szCs w:val="32"/>
          <w:lang w:eastAsia="zh-CN"/>
        </w:rPr>
        <w:t>等</w:t>
      </w:r>
      <w:r>
        <w:rPr>
          <w:rFonts w:hint="eastAsia" w:ascii="仿宋_GB2312" w:eastAsia="仿宋_GB2312"/>
          <w:sz w:val="32"/>
          <w:szCs w:val="32"/>
        </w:rPr>
        <w:t>文件要求，特编制并向社会公布</w:t>
      </w:r>
      <w:r>
        <w:rPr>
          <w:rFonts w:hint="eastAsia" w:ascii="仿宋_GB2312" w:eastAsia="仿宋_GB2312"/>
          <w:sz w:val="32"/>
          <w:szCs w:val="32"/>
          <w:lang w:eastAsia="zh-CN"/>
        </w:rPr>
        <w:t>龙门镇人民政府办公室</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政府信息公开工作年度报告。本报告由总体情况，主动公开政府信息的情况，收到和处理政府信息公开申请情况，政府信息公开行政复议、行政诉讼情况，存在的主要问题及改进情况，其他需要报告的事项等六部分组成。本年报中所列数据的统计期限自20</w:t>
      </w:r>
      <w:r>
        <w:rPr>
          <w:rFonts w:hint="eastAsia" w:ascii="仿宋_GB2312" w:eastAsia="仿宋_GB2312"/>
          <w:sz w:val="32"/>
          <w:szCs w:val="32"/>
          <w:lang w:val="en-US" w:eastAsia="zh-CN"/>
        </w:rPr>
        <w:t>20</w:t>
      </w:r>
      <w:r>
        <w:rPr>
          <w:rFonts w:hint="eastAsia" w:ascii="仿宋_GB2312" w:eastAsia="仿宋_GB2312"/>
          <w:sz w:val="32"/>
          <w:szCs w:val="32"/>
        </w:rPr>
        <w:t>年1月1日起至20</w:t>
      </w:r>
      <w:r>
        <w:rPr>
          <w:rFonts w:hint="eastAsia" w:ascii="仿宋_GB2312" w:eastAsia="仿宋_GB2312"/>
          <w:sz w:val="32"/>
          <w:szCs w:val="32"/>
          <w:lang w:val="en-US" w:eastAsia="zh-CN"/>
        </w:rPr>
        <w:t>20</w:t>
      </w:r>
      <w:r>
        <w:rPr>
          <w:rFonts w:hint="eastAsia" w:ascii="仿宋_GB2312" w:eastAsia="仿宋_GB2312"/>
          <w:sz w:val="32"/>
          <w:szCs w:val="32"/>
        </w:rPr>
        <w:t>年12月31日止。本年报的电子版可在“安溪县政府门户网”（www.fjax.gov.cn）下载。如对本年报有疑问，请与</w:t>
      </w:r>
      <w:r>
        <w:rPr>
          <w:rFonts w:hint="eastAsia" w:ascii="仿宋_GB2312" w:eastAsia="仿宋_GB2312"/>
          <w:sz w:val="32"/>
          <w:szCs w:val="32"/>
          <w:lang w:eastAsia="zh-CN"/>
        </w:rPr>
        <w:t>龙门镇</w:t>
      </w:r>
      <w:r>
        <w:rPr>
          <w:rFonts w:hint="eastAsia" w:ascii="仿宋_GB2312" w:eastAsia="仿宋_GB2312"/>
          <w:sz w:val="32"/>
          <w:szCs w:val="32"/>
        </w:rPr>
        <w:t>人民政府办公室联系（地址：龙门镇信息大道1号，邮编：362442，电话：</w:t>
      </w:r>
      <w:r>
        <w:rPr>
          <w:rFonts w:hint="eastAsia" w:ascii="仿宋_GB2312" w:eastAsia="仿宋_GB2312"/>
          <w:sz w:val="32"/>
          <w:szCs w:val="32"/>
          <w:lang w:val="en-US" w:eastAsia="zh-CN"/>
        </w:rPr>
        <w:t>0595-</w:t>
      </w:r>
      <w:r>
        <w:rPr>
          <w:rFonts w:hint="eastAsia" w:ascii="仿宋_GB2312" w:eastAsia="仿宋_GB2312"/>
          <w:sz w:val="32"/>
          <w:szCs w:val="32"/>
        </w:rPr>
        <w:t>23311186，</w:t>
      </w:r>
      <w:r>
        <w:rPr>
          <w:rFonts w:hint="eastAsia" w:ascii="仿宋_GB2312" w:eastAsia="仿宋_GB2312"/>
          <w:sz w:val="32"/>
          <w:szCs w:val="32"/>
          <w:lang w:eastAsia="zh-CN"/>
        </w:rPr>
        <w:t>传真：</w:t>
      </w:r>
      <w:r>
        <w:rPr>
          <w:rFonts w:hint="eastAsia" w:ascii="仿宋_GB2312" w:eastAsia="仿宋_GB2312"/>
          <w:sz w:val="32"/>
          <w:szCs w:val="32"/>
          <w:lang w:val="en-US" w:eastAsia="zh-CN"/>
        </w:rPr>
        <w:t>0595-23314211，</w:t>
      </w:r>
      <w:r>
        <w:rPr>
          <w:rFonts w:hint="eastAsia" w:ascii="仿宋_GB2312" w:eastAsia="仿宋_GB2312"/>
          <w:sz w:val="32"/>
          <w:szCs w:val="32"/>
        </w:rPr>
        <w:t>电子邮箱：</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"mailto:axlmz@126.com" </w:instrText>
      </w:r>
      <w:r>
        <w:rPr>
          <w:rFonts w:hint="eastAsia" w:ascii="仿宋_GB2312" w:eastAsia="仿宋_GB2312"/>
          <w:sz w:val="32"/>
          <w:szCs w:val="32"/>
        </w:rPr>
        <w:fldChar w:fldCharType="separate"/>
      </w:r>
      <w:r>
        <w:rPr>
          <w:rFonts w:hint="eastAsia" w:ascii="仿宋_GB2312" w:eastAsia="仿宋_GB2312"/>
          <w:sz w:val="32"/>
          <w:szCs w:val="32"/>
        </w:rPr>
        <w:t>axlmz@126.com</w:t>
      </w:r>
      <w:r>
        <w:rPr>
          <w:rFonts w:hint="eastAsia" w:ascii="仿宋_GB2312" w:eastAsia="仿宋_GB2312"/>
          <w:sz w:val="32"/>
          <w:szCs w:val="32"/>
        </w:rPr>
        <w:fldChar w:fldCharType="end"/>
      </w: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eastAsia="黑体"/>
          <w:sz w:val="32"/>
          <w:szCs w:val="32"/>
        </w:rPr>
      </w:pPr>
      <w:r>
        <w:rPr>
          <w:rFonts w:hint="eastAsia" w:ascii="黑体" w:eastAsia="黑体"/>
          <w:sz w:val="32"/>
          <w:szCs w:val="32"/>
        </w:rPr>
        <w:t>一、总体情况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hAnsi="Times New Roman" w:eastAsia="仿宋_GB2312" w:cs="Times New Roman"/>
          <w:sz w:val="32"/>
          <w:szCs w:val="32"/>
          <w:lang w:val="en-US" w:eastAsia="zh-CN"/>
        </w:rPr>
        <w:t>2020年，</w:t>
      </w:r>
      <w:r>
        <w:rPr>
          <w:rFonts w:hint="eastAsia" w:ascii="仿宋_GB2312" w:eastAsia="仿宋_GB2312"/>
          <w:sz w:val="32"/>
          <w:szCs w:val="32"/>
          <w:lang w:val="en-US" w:eastAsia="zh-CN"/>
        </w:rPr>
        <w:t>龙门镇</w:t>
      </w:r>
      <w:r>
        <w:rPr>
          <w:rFonts w:hint="eastAsia" w:ascii="仿宋_GB2312" w:hAnsi="Times New Roman" w:eastAsia="仿宋_GB2312" w:cs="Times New Roman"/>
          <w:kern w:val="2"/>
          <w:sz w:val="32"/>
          <w:szCs w:val="32"/>
          <w:lang w:val="en-US" w:eastAsia="zh-CN" w:bidi="ar-SA"/>
        </w:rPr>
        <w:t>认真贯彻落实</w:t>
      </w:r>
      <w:r>
        <w:rPr>
          <w:rFonts w:hint="eastAsia" w:ascii="仿宋_GB2312" w:eastAsia="仿宋_GB2312" w:cs="Times New Roman"/>
          <w:kern w:val="2"/>
          <w:sz w:val="32"/>
          <w:szCs w:val="32"/>
          <w:lang w:val="en-US" w:eastAsia="zh-CN" w:bidi="ar-SA"/>
        </w:rPr>
        <w:t>县委、县政府</w:t>
      </w:r>
      <w:r>
        <w:rPr>
          <w:rFonts w:hint="eastAsia" w:ascii="仿宋_GB2312" w:hAnsi="Times New Roman" w:eastAsia="仿宋_GB2312" w:cs="Times New Roman"/>
          <w:kern w:val="2"/>
          <w:sz w:val="32"/>
          <w:szCs w:val="32"/>
          <w:lang w:val="en-US" w:eastAsia="zh-CN" w:bidi="ar-SA"/>
        </w:rPr>
        <w:t>的各项决策部署</w:t>
      </w:r>
      <w:r>
        <w:rPr>
          <w:rFonts w:hint="eastAsia" w:ascii="仿宋_GB2312" w:eastAsia="仿宋_GB2312"/>
          <w:sz w:val="32"/>
          <w:szCs w:val="32"/>
          <w:lang w:eastAsia="zh-CN"/>
        </w:rPr>
        <w:t>，</w:t>
      </w:r>
      <w:r>
        <w:rPr>
          <w:rFonts w:hint="eastAsia" w:ascii="仿宋_GB2312" w:hAnsi="Times New Roman" w:eastAsia="仿宋_GB2312" w:cs="Times New Roman"/>
          <w:kern w:val="2"/>
          <w:sz w:val="32"/>
          <w:szCs w:val="32"/>
          <w:lang w:val="en-US" w:eastAsia="zh-CN" w:bidi="ar-SA"/>
        </w:rPr>
        <w:t>严格执行</w:t>
      </w:r>
      <w:r>
        <w:rPr>
          <w:rFonts w:hint="eastAsia" w:ascii="仿宋_GB2312" w:eastAsia="仿宋_GB2312"/>
          <w:sz w:val="32"/>
          <w:szCs w:val="32"/>
          <w:lang w:val="en-US" w:eastAsia="zh-CN"/>
        </w:rPr>
        <w:t>《</w:t>
      </w:r>
      <w:r>
        <w:rPr>
          <w:rFonts w:hint="eastAsia" w:ascii="仿宋_GB2312" w:eastAsia="仿宋_GB2312"/>
          <w:sz w:val="32"/>
          <w:szCs w:val="32"/>
          <w:lang w:eastAsia="zh-CN"/>
        </w:rPr>
        <w:t>安溪县全面推进基层政务公开标准化规范化工作实施细则</w:t>
      </w:r>
      <w:r>
        <w:rPr>
          <w:rFonts w:hint="eastAsia" w:ascii="仿宋_GB2312" w:eastAsia="仿宋_GB2312"/>
          <w:sz w:val="32"/>
          <w:szCs w:val="32"/>
          <w:lang w:val="en-US" w:eastAsia="zh-CN"/>
        </w:rPr>
        <w:t>》</w:t>
      </w:r>
      <w:r>
        <w:rPr>
          <w:rFonts w:hint="eastAsia" w:ascii="仿宋_GB2312" w:eastAsia="仿宋_GB2312"/>
          <w:sz w:val="32"/>
          <w:szCs w:val="32"/>
          <w:lang w:eastAsia="zh-CN"/>
        </w:rPr>
        <w:t>（安政办〔2020〕19号）</w:t>
      </w:r>
      <w:r>
        <w:rPr>
          <w:rFonts w:hint="eastAsia" w:ascii="仿宋_GB2312" w:eastAsia="仿宋_GB2312"/>
          <w:sz w:val="32"/>
          <w:szCs w:val="32"/>
          <w:lang w:eastAsia="zh-CN"/>
        </w:rPr>
        <w:t>《安溪县基层政务公开标准化规范化工作推进表》</w:t>
      </w:r>
      <w:r>
        <w:rPr>
          <w:rFonts w:hint="eastAsia" w:ascii="仿宋_GB2312" w:eastAsia="仿宋_GB2312"/>
          <w:sz w:val="32"/>
          <w:szCs w:val="32"/>
          <w:lang w:val="en-US" w:eastAsia="zh-CN"/>
        </w:rPr>
        <w:t>，</w:t>
      </w:r>
      <w:r>
        <w:rPr>
          <w:rFonts w:hint="eastAsia" w:ascii="仿宋_GB2312" w:hAnsi="Times New Roman" w:eastAsia="仿宋_GB2312" w:cs="Times New Roman"/>
          <w:kern w:val="2"/>
          <w:sz w:val="32"/>
          <w:szCs w:val="32"/>
          <w:lang w:val="en-US" w:eastAsia="zh-CN" w:bidi="ar-SA"/>
        </w:rPr>
        <w:t>着力健全政务公开机制</w:t>
      </w:r>
      <w:r>
        <w:rPr>
          <w:rFonts w:hint="eastAsia" w:ascii="仿宋_GB2312" w:eastAsia="仿宋_GB2312"/>
          <w:sz w:val="32"/>
          <w:szCs w:val="32"/>
          <w:lang w:eastAsia="zh-CN"/>
        </w:rPr>
        <w:t>，不断规范信息公开内容，创新信息公开形式，突出信息公开重点，提高信息公开水平，</w:t>
      </w:r>
      <w:r>
        <w:rPr>
          <w:rFonts w:hint="eastAsia" w:ascii="仿宋_GB2312" w:hAnsi="Times New Roman" w:eastAsia="仿宋_GB2312" w:cs="Times New Roman"/>
          <w:kern w:val="2"/>
          <w:sz w:val="32"/>
          <w:szCs w:val="32"/>
          <w:lang w:val="en-US" w:eastAsia="zh-CN" w:bidi="ar-SA"/>
        </w:rPr>
        <w:t>切实保障公众的知情权、参与权和监督权。</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eastAsia="zh-CN"/>
        </w:rPr>
        <w:t>龙门镇</w:t>
      </w:r>
      <w:r>
        <w:rPr>
          <w:rFonts w:hint="eastAsia" w:ascii="仿宋_GB2312" w:eastAsia="仿宋_GB2312"/>
          <w:sz w:val="32"/>
          <w:szCs w:val="32"/>
        </w:rPr>
        <w:t>主动公开政府信息</w:t>
      </w:r>
      <w:r>
        <w:rPr>
          <w:rFonts w:hint="eastAsia" w:ascii="仿宋_GB2312" w:eastAsia="仿宋_GB2312"/>
          <w:sz w:val="32"/>
          <w:szCs w:val="32"/>
          <w:lang w:val="en-US" w:eastAsia="zh-CN"/>
        </w:rPr>
        <w:t>25</w:t>
      </w:r>
      <w:r>
        <w:rPr>
          <w:rFonts w:hint="eastAsia" w:ascii="仿宋_GB2312" w:eastAsia="仿宋_GB2312"/>
          <w:sz w:val="32"/>
          <w:szCs w:val="32"/>
        </w:rPr>
        <w:t>条，全文电子化率100%；全</w:t>
      </w:r>
      <w:r>
        <w:rPr>
          <w:rFonts w:hint="eastAsia" w:ascii="仿宋_GB2312" w:eastAsia="仿宋_GB2312"/>
          <w:sz w:val="32"/>
          <w:szCs w:val="32"/>
          <w:lang w:eastAsia="zh-CN"/>
        </w:rPr>
        <w:t>镇</w:t>
      </w:r>
      <w:r>
        <w:rPr>
          <w:rFonts w:hint="eastAsia" w:ascii="仿宋_GB2312" w:eastAsia="仿宋_GB2312"/>
          <w:sz w:val="32"/>
          <w:szCs w:val="32"/>
        </w:rPr>
        <w:t>累计收到政府信息公开申请</w:t>
      </w:r>
      <w:r>
        <w:rPr>
          <w:rFonts w:hint="eastAsia" w:ascii="仿宋_GB2312" w:eastAsia="仿宋_GB2312"/>
          <w:sz w:val="32"/>
          <w:szCs w:val="32"/>
          <w:lang w:val="en-US" w:eastAsia="zh-CN"/>
        </w:rPr>
        <w:t>1</w:t>
      </w:r>
      <w:r>
        <w:rPr>
          <w:rFonts w:hint="eastAsia" w:ascii="仿宋_GB2312" w:eastAsia="仿宋_GB2312"/>
          <w:sz w:val="32"/>
          <w:szCs w:val="32"/>
        </w:rPr>
        <w:t>件，在规定时限内答复</w:t>
      </w:r>
      <w:r>
        <w:rPr>
          <w:rFonts w:hint="eastAsia" w:ascii="仿宋_GB2312" w:eastAsia="仿宋_GB2312"/>
          <w:sz w:val="32"/>
          <w:szCs w:val="32"/>
          <w:lang w:val="en-US" w:eastAsia="zh-CN"/>
        </w:rPr>
        <w:t>1</w:t>
      </w:r>
      <w:r>
        <w:rPr>
          <w:rFonts w:hint="eastAsia" w:ascii="仿宋_GB2312" w:eastAsia="仿宋_GB2312"/>
          <w:sz w:val="32"/>
          <w:szCs w:val="32"/>
        </w:rPr>
        <w:t>件，办结率100%。</w:t>
      </w:r>
    </w:p>
    <w:p>
      <w:pPr>
        <w:pStyle w:val="3"/>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before="0" w:beforeAutospacing="0" w:after="120" w:afterAutospacing="0" w:line="600" w:lineRule="exact"/>
        <w:ind w:leftChars="0" w:right="0" w:rightChars="0" w:firstLine="643" w:firstLineChars="200"/>
        <w:jc w:val="both"/>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（一）加强领导，精心组织。</w:t>
      </w:r>
      <w:r>
        <w:rPr>
          <w:rFonts w:hint="eastAsia" w:ascii="仿宋_GB2312" w:hAnsi="Times New Roman" w:eastAsia="仿宋_GB2312" w:cs="Times New Roman"/>
          <w:kern w:val="2"/>
          <w:sz w:val="32"/>
          <w:szCs w:val="32"/>
          <w:lang w:val="en-US" w:eastAsia="zh-CN" w:bidi="ar-SA"/>
        </w:rPr>
        <w:t>调整政府信息公开领导小组，</w:t>
      </w:r>
      <w:r>
        <w:rPr>
          <w:rFonts w:hint="eastAsia" w:ascii="仿宋_GB2312" w:hAnsi="Times New Roman" w:eastAsia="仿宋_GB2312" w:cs="Times New Roman"/>
          <w:kern w:val="2"/>
          <w:sz w:val="32"/>
          <w:szCs w:val="32"/>
          <w:lang w:val="en-US" w:eastAsia="zh-CN" w:bidi="ar-SA"/>
        </w:rPr>
        <w:t>组织协调、督促指导、检查考核全镇政府信息公开工作开展情况。</w:t>
      </w:r>
      <w:r>
        <w:rPr>
          <w:rFonts w:hint="eastAsia" w:ascii="仿宋_GB2312" w:hAnsi="Times New Roman" w:eastAsia="仿宋_GB2312" w:cs="Times New Roman"/>
          <w:kern w:val="2"/>
          <w:sz w:val="32"/>
          <w:szCs w:val="32"/>
          <w:lang w:val="en-US" w:eastAsia="zh-CN" w:bidi="ar-SA"/>
        </w:rPr>
        <w:t>进一步健全政府信息公开流程、政府信息主动公开、依申请公开等制度</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按照《中华人民共和国政府信息公开条例》规定的要求，及时发布主动公开的政府信息。</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（二）规范运作，提高质量。</w:t>
      </w:r>
      <w:r>
        <w:rPr>
          <w:rFonts w:hint="eastAsia" w:ascii="仿宋_GB2312" w:hAnsi="Times New Roman" w:eastAsia="仿宋_GB2312" w:cs="Times New Roman"/>
          <w:kern w:val="2"/>
          <w:sz w:val="32"/>
          <w:szCs w:val="32"/>
          <w:lang w:val="en-US" w:eastAsia="zh-CN" w:bidi="ar-SA"/>
        </w:rPr>
        <w:t>修订完善《龙门镇人民政府信息公开指南》，健全龙门镇信息公开机制</w:t>
      </w:r>
      <w:r>
        <w:rPr>
          <w:rFonts w:hint="eastAsia" w:ascii="仿宋_GB2312" w:eastAsia="仿宋_GB2312" w:cs="Times New Roman"/>
          <w:kern w:val="2"/>
          <w:sz w:val="32"/>
          <w:szCs w:val="32"/>
          <w:lang w:val="en-US" w:eastAsia="zh-CN" w:bidi="ar-SA"/>
        </w:rPr>
        <w:t>。</w:t>
      </w:r>
      <w:r>
        <w:rPr>
          <w:rFonts w:hint="eastAsia" w:ascii="仿宋_GB2312" w:eastAsia="仿宋_GB2312"/>
          <w:sz w:val="32"/>
          <w:szCs w:val="32"/>
          <w:lang w:eastAsia="zh-CN"/>
        </w:rPr>
        <w:t>常态化监测门户网站和部门单位内容保障、信息公开、</w:t>
      </w:r>
      <w:r>
        <w:rPr>
          <w:rFonts w:hint="eastAsia" w:ascii="仿宋_GB2312" w:hAnsi="宋体" w:eastAsia="仿宋_GB2312"/>
          <w:sz w:val="32"/>
          <w:szCs w:val="32"/>
        </w:rPr>
        <w:t>互动平台</w:t>
      </w:r>
      <w:r>
        <w:rPr>
          <w:rFonts w:hint="eastAsia" w:ascii="仿宋_GB2312" w:eastAsia="仿宋_GB2312"/>
          <w:sz w:val="32"/>
          <w:szCs w:val="32"/>
          <w:lang w:eastAsia="zh-CN"/>
        </w:rPr>
        <w:t>等栏目的保障情况，不断提高政府网站管理服务水平。</w:t>
      </w:r>
      <w:r>
        <w:rPr>
          <w:rFonts w:hint="eastAsia" w:ascii="仿宋_GB2312" w:hAnsi="Times New Roman" w:eastAsia="仿宋_GB2312" w:cs="Times New Roman"/>
          <w:kern w:val="2"/>
          <w:sz w:val="32"/>
          <w:szCs w:val="32"/>
          <w:lang w:val="en-US" w:eastAsia="zh-CN" w:bidi="ar-SA"/>
        </w:rPr>
        <w:t>全面梳理镇人民政府及各部门的各类信息，对机构职能、规范性文件、工作动态等方面的政府信息按工作流程进行公开，接受社会和公众的监督，做到规范化、系统化地公开政府信息。</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eastAsia="仿宋_GB2312"/>
          <w:sz w:val="32"/>
          <w:szCs w:val="32"/>
          <w:lang w:eastAsia="zh-CN"/>
        </w:rPr>
      </w:pPr>
      <w:r>
        <w:rPr>
          <w:rFonts w:hint="eastAsia" w:ascii="楷体_GB2312" w:hAnsi="楷体_GB2312" w:eastAsia="楷体_GB2312" w:cs="楷体_GB2312"/>
          <w:b/>
          <w:bCs/>
          <w:kern w:val="2"/>
          <w:sz w:val="32"/>
          <w:szCs w:val="32"/>
          <w:lang w:val="en-US" w:eastAsia="zh-CN" w:bidi="ar-SA"/>
        </w:rPr>
        <w:t>（三）主动公开，突出重点。</w:t>
      </w:r>
      <w:r>
        <w:rPr>
          <w:rFonts w:hint="eastAsia" w:ascii="仿宋_GB2312" w:eastAsia="仿宋_GB2312"/>
          <w:sz w:val="32"/>
          <w:szCs w:val="32"/>
          <w:lang w:eastAsia="zh-CN"/>
        </w:rPr>
        <w:t>加强门户网站建设管理和内容保障，加大政务公开和信息公开力度，</w:t>
      </w:r>
      <w:r>
        <w:rPr>
          <w:rFonts w:hint="eastAsia" w:ascii="仿宋_GB2312" w:hAnsi="Times New Roman" w:eastAsia="仿宋_GB2312" w:cs="Times New Roman"/>
          <w:kern w:val="2"/>
          <w:sz w:val="32"/>
          <w:szCs w:val="32"/>
          <w:lang w:val="en-US" w:eastAsia="zh-CN" w:bidi="ar-SA"/>
        </w:rPr>
        <w:t>把握公开重点，着力推进重点领域信息公开，把群众关注的热点内容作为信息公开的重点，把握信息公开期限和时效性</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及时、准确地向社会公开年度工作报告、安全生产、财政资金、脱贫攻坚、公共服务、农业农村发展情况等政府信息，把推进政府信息公开与转变政府职能、规范权力运行、促进依法行政紧密结合起来。</w:t>
      </w:r>
    </w:p>
    <w:p>
      <w:pPr>
        <w:spacing w:line="600" w:lineRule="exact"/>
        <w:ind w:firstLine="640" w:firstLineChars="200"/>
        <w:rPr>
          <w:rFonts w:hint="eastAsia" w:ascii="黑体" w:eastAsia="黑体"/>
          <w:sz w:val="32"/>
          <w:szCs w:val="32"/>
        </w:rPr>
      </w:pPr>
      <w:r>
        <w:rPr>
          <w:rFonts w:hint="eastAsia" w:ascii="黑体" w:eastAsia="黑体"/>
          <w:sz w:val="32"/>
          <w:szCs w:val="32"/>
        </w:rPr>
        <w:t>二、主动公开政府信息的情况</w:t>
      </w:r>
    </w:p>
    <w:tbl>
      <w:tblPr>
        <w:tblStyle w:val="4"/>
        <w:tblW w:w="8401" w:type="dxa"/>
        <w:jc w:val="center"/>
        <w:tblLayout w:type="autofit"/>
        <w:tblCellMar>
          <w:top w:w="0" w:type="dxa"/>
          <w:left w:w="0" w:type="dxa"/>
          <w:bottom w:w="0" w:type="dxa"/>
          <w:right w:w="0" w:type="dxa"/>
        </w:tblCellMar>
      </w:tblPr>
      <w:tblGrid>
        <w:gridCol w:w="2714"/>
        <w:gridCol w:w="2000"/>
        <w:gridCol w:w="1650"/>
        <w:gridCol w:w="2037"/>
      </w:tblGrid>
      <w:tr>
        <w:tblPrEx>
          <w:tblCellMar>
            <w:top w:w="0" w:type="dxa"/>
            <w:left w:w="0" w:type="dxa"/>
            <w:bottom w:w="0" w:type="dxa"/>
            <w:right w:w="0" w:type="dxa"/>
          </w:tblCellMar>
        </w:tblPrEx>
        <w:trPr>
          <w:trHeight w:val="495" w:hRule="atLeast"/>
          <w:jc w:val="center"/>
        </w:trPr>
        <w:tc>
          <w:tcPr>
            <w:tcW w:w="8401" w:type="dxa"/>
            <w:gridSpan w:val="4"/>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第二十条第（一）项</w:t>
            </w:r>
          </w:p>
        </w:tc>
      </w:tr>
      <w:tr>
        <w:tblPrEx>
          <w:tblCellMar>
            <w:top w:w="0" w:type="dxa"/>
            <w:left w:w="0" w:type="dxa"/>
            <w:bottom w:w="0" w:type="dxa"/>
            <w:right w:w="0" w:type="dxa"/>
          </w:tblCellMar>
        </w:tblPrEx>
        <w:trPr>
          <w:trHeight w:val="882"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信息内容</w:t>
            </w:r>
          </w:p>
        </w:tc>
        <w:tc>
          <w:tcPr>
            <w:tcW w:w="200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本年新</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制作数量</w:t>
            </w:r>
          </w:p>
        </w:tc>
        <w:tc>
          <w:tcPr>
            <w:tcW w:w="1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本年新</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公开数量</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对外公开总数量</w:t>
            </w:r>
          </w:p>
        </w:tc>
      </w:tr>
      <w:tr>
        <w:tblPrEx>
          <w:tblCellMar>
            <w:top w:w="0" w:type="dxa"/>
            <w:left w:w="0" w:type="dxa"/>
            <w:bottom w:w="0" w:type="dxa"/>
            <w:right w:w="0" w:type="dxa"/>
          </w:tblCellMar>
        </w:tblPrEx>
        <w:trPr>
          <w:trHeight w:val="523"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规章</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lang w:bidi="ar"/>
              </w:rPr>
              <w:t>0</w:t>
            </w:r>
          </w:p>
        </w:tc>
        <w:tc>
          <w:tcPr>
            <w:tcW w:w="1650" w:type="dxa"/>
            <w:tcBorders>
              <w:top w:val="nil"/>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lang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ascii="宋体" w:hAnsi="宋体" w:eastAsia="宋体" w:cs="宋体"/>
                <w:kern w:val="0"/>
                <w:sz w:val="24"/>
              </w:rPr>
            </w:pPr>
            <w:r>
              <w:rPr>
                <w:rFonts w:hint="eastAsia" w:ascii="宋体" w:hAnsi="宋体" w:eastAsia="宋体" w:cs="宋体"/>
                <w:kern w:val="0"/>
                <w:sz w:val="24"/>
                <w:lang w:bidi="ar"/>
              </w:rPr>
              <w:t>0</w:t>
            </w:r>
          </w:p>
        </w:tc>
      </w:tr>
      <w:tr>
        <w:tblPrEx>
          <w:tblCellMar>
            <w:top w:w="0" w:type="dxa"/>
            <w:left w:w="0" w:type="dxa"/>
            <w:bottom w:w="0" w:type="dxa"/>
            <w:right w:w="0" w:type="dxa"/>
          </w:tblCellMar>
        </w:tblPrEx>
        <w:trPr>
          <w:trHeight w:val="471"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规范性文件</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1650" w:type="dxa"/>
            <w:tcBorders>
              <w:top w:val="nil"/>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r>
      <w:tr>
        <w:tblPrEx>
          <w:tblCellMar>
            <w:top w:w="0" w:type="dxa"/>
            <w:left w:w="0" w:type="dxa"/>
            <w:bottom w:w="0" w:type="dxa"/>
            <w:right w:w="0" w:type="dxa"/>
          </w:tblCellMar>
        </w:tblPrEx>
        <w:trPr>
          <w:trHeight w:val="480" w:hRule="atLeast"/>
          <w:jc w:val="center"/>
        </w:trPr>
        <w:tc>
          <w:tcPr>
            <w:tcW w:w="8401"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第二十条第（五）项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信息内容</w:t>
            </w:r>
          </w:p>
        </w:tc>
        <w:tc>
          <w:tcPr>
            <w:tcW w:w="200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上一年项目数量</w:t>
            </w:r>
          </w:p>
        </w:tc>
        <w:tc>
          <w:tcPr>
            <w:tcW w:w="1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本年增/减</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处理决定数量</w:t>
            </w:r>
          </w:p>
        </w:tc>
      </w:tr>
      <w:tr>
        <w:tblPrEx>
          <w:tblCellMar>
            <w:top w:w="0" w:type="dxa"/>
            <w:left w:w="0" w:type="dxa"/>
            <w:bottom w:w="0" w:type="dxa"/>
            <w:right w:w="0" w:type="dxa"/>
          </w:tblCellMar>
        </w:tblPrEx>
        <w:trPr>
          <w:trHeight w:val="528"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行政许可</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0</w:t>
            </w:r>
          </w:p>
        </w:tc>
        <w:tc>
          <w:tcPr>
            <w:tcW w:w="165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r>
      <w:tr>
        <w:tblPrEx>
          <w:tblCellMar>
            <w:top w:w="0" w:type="dxa"/>
            <w:left w:w="0" w:type="dxa"/>
            <w:bottom w:w="0" w:type="dxa"/>
            <w:right w:w="0" w:type="dxa"/>
          </w:tblCellMar>
        </w:tblPrEx>
        <w:trPr>
          <w:trHeight w:val="550"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其他对外管理服务事项</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165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r>
      <w:tr>
        <w:tblPrEx>
          <w:tblCellMar>
            <w:top w:w="0" w:type="dxa"/>
            <w:left w:w="0" w:type="dxa"/>
            <w:bottom w:w="0" w:type="dxa"/>
            <w:right w:w="0" w:type="dxa"/>
          </w:tblCellMar>
        </w:tblPrEx>
        <w:trPr>
          <w:trHeight w:val="406" w:hRule="atLeast"/>
          <w:jc w:val="center"/>
        </w:trPr>
        <w:tc>
          <w:tcPr>
            <w:tcW w:w="8401" w:type="dxa"/>
            <w:gridSpan w:val="4"/>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第二十条第（六）项</w:t>
            </w:r>
          </w:p>
        </w:tc>
      </w:tr>
      <w:tr>
        <w:tblPrEx>
          <w:tblCellMar>
            <w:top w:w="0" w:type="dxa"/>
            <w:left w:w="0" w:type="dxa"/>
            <w:bottom w:w="0" w:type="dxa"/>
            <w:right w:w="0" w:type="dxa"/>
          </w:tblCellMar>
        </w:tblPrEx>
        <w:trPr>
          <w:trHeight w:val="634"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信息内容</w:t>
            </w:r>
          </w:p>
        </w:tc>
        <w:tc>
          <w:tcPr>
            <w:tcW w:w="2000" w:type="dxa"/>
            <w:tcBorders>
              <w:top w:val="single" w:color="auto" w:sz="8" w:space="0"/>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上一年项目数量</w:t>
            </w:r>
          </w:p>
        </w:tc>
        <w:tc>
          <w:tcPr>
            <w:tcW w:w="1650"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本年增/减</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处理决定数量</w:t>
            </w:r>
          </w:p>
        </w:tc>
      </w:tr>
      <w:tr>
        <w:tblPrEx>
          <w:tblCellMar>
            <w:top w:w="0" w:type="dxa"/>
            <w:left w:w="0" w:type="dxa"/>
            <w:bottom w:w="0" w:type="dxa"/>
            <w:right w:w="0" w:type="dxa"/>
          </w:tblCellMar>
        </w:tblPrEx>
        <w:trPr>
          <w:trHeight w:val="430"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行政处罚</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165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0</w:t>
            </w:r>
          </w:p>
        </w:tc>
      </w:tr>
      <w:tr>
        <w:tblPrEx>
          <w:tblCellMar>
            <w:top w:w="0" w:type="dxa"/>
            <w:left w:w="0" w:type="dxa"/>
            <w:bottom w:w="0" w:type="dxa"/>
            <w:right w:w="0" w:type="dxa"/>
          </w:tblCellMar>
        </w:tblPrEx>
        <w:trPr>
          <w:trHeight w:val="409"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行政强制</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165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c>
          <w:tcPr>
            <w:tcW w:w="2037"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rPr>
              <w:t>0</w:t>
            </w:r>
          </w:p>
        </w:tc>
      </w:tr>
      <w:tr>
        <w:tblPrEx>
          <w:tblCellMar>
            <w:top w:w="0" w:type="dxa"/>
            <w:left w:w="0" w:type="dxa"/>
            <w:bottom w:w="0" w:type="dxa"/>
            <w:right w:w="0" w:type="dxa"/>
          </w:tblCellMar>
        </w:tblPrEx>
        <w:trPr>
          <w:trHeight w:val="474" w:hRule="atLeast"/>
          <w:jc w:val="center"/>
        </w:trPr>
        <w:tc>
          <w:tcPr>
            <w:tcW w:w="8401" w:type="dxa"/>
            <w:gridSpan w:val="4"/>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第二十条第（八）项</w:t>
            </w:r>
          </w:p>
        </w:tc>
      </w:tr>
      <w:tr>
        <w:tblPrEx>
          <w:tblCellMar>
            <w:top w:w="0" w:type="dxa"/>
            <w:left w:w="0" w:type="dxa"/>
            <w:bottom w:w="0" w:type="dxa"/>
            <w:right w:w="0" w:type="dxa"/>
          </w:tblCellMar>
        </w:tblPrEx>
        <w:trPr>
          <w:trHeight w:val="270"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信息内容</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上一年项目数量</w:t>
            </w:r>
          </w:p>
        </w:tc>
        <w:tc>
          <w:tcPr>
            <w:tcW w:w="3687" w:type="dxa"/>
            <w:gridSpan w:val="2"/>
            <w:tcBorders>
              <w:top w:val="single" w:color="auto" w:sz="8" w:space="0"/>
              <w:left w:val="nil"/>
              <w:bottom w:val="single" w:color="auto" w:sz="8" w:space="0"/>
              <w:right w:val="single" w:color="000000"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本年增/减</w:t>
            </w:r>
          </w:p>
        </w:tc>
      </w:tr>
      <w:tr>
        <w:tblPrEx>
          <w:tblCellMar>
            <w:top w:w="0" w:type="dxa"/>
            <w:left w:w="0" w:type="dxa"/>
            <w:bottom w:w="0" w:type="dxa"/>
            <w:right w:w="0" w:type="dxa"/>
          </w:tblCellMar>
        </w:tblPrEx>
        <w:trPr>
          <w:trHeight w:val="551" w:hRule="atLeast"/>
          <w:jc w:val="center"/>
        </w:trPr>
        <w:tc>
          <w:tcPr>
            <w:tcW w:w="2714" w:type="dxa"/>
            <w:tcBorders>
              <w:top w:val="nil"/>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行政事业性收费</w:t>
            </w:r>
          </w:p>
        </w:tc>
        <w:tc>
          <w:tcPr>
            <w:tcW w:w="2000" w:type="dxa"/>
            <w:tcBorders>
              <w:top w:val="nil"/>
              <w:left w:val="nil"/>
              <w:bottom w:val="single" w:color="auto" w:sz="8" w:space="0"/>
              <w:right w:val="single" w:color="auto" w:sz="8" w:space="0"/>
            </w:tcBorders>
            <w:noWrap/>
            <w:tcMar>
              <w:left w:w="108" w:type="dxa"/>
              <w:right w:w="108" w:type="dxa"/>
            </w:tcMar>
            <w:vAlign w:val="center"/>
          </w:tcPr>
          <w:p>
            <w:pPr>
              <w:widowControl/>
              <w:spacing w:line="600" w:lineRule="exact"/>
              <w:jc w:val="left"/>
              <w:rPr>
                <w:rFonts w:ascii="宋体" w:hAnsi="宋体" w:eastAsia="宋体" w:cs="宋体"/>
                <w:kern w:val="0"/>
                <w:sz w:val="24"/>
              </w:rPr>
            </w:pPr>
            <w:r>
              <w:rPr>
                <w:rFonts w:hint="eastAsia" w:ascii="宋体" w:hAnsi="宋体" w:eastAsia="宋体" w:cs="宋体"/>
                <w:kern w:val="0"/>
                <w:sz w:val="24"/>
                <w:lang w:bidi="ar"/>
              </w:rPr>
              <w:t>　</w:t>
            </w:r>
            <w:r>
              <w:rPr>
                <w:rFonts w:hint="eastAsia" w:ascii="宋体" w:hAnsi="宋体" w:eastAsia="宋体" w:cs="宋体"/>
                <w:kern w:val="0"/>
                <w:sz w:val="24"/>
                <w:lang w:val="en-US" w:eastAsia="zh-CN" w:bidi="ar"/>
              </w:rPr>
              <w:t xml:space="preserve">  0</w:t>
            </w:r>
          </w:p>
        </w:tc>
        <w:tc>
          <w:tcPr>
            <w:tcW w:w="3687" w:type="dxa"/>
            <w:gridSpan w:val="2"/>
            <w:tcBorders>
              <w:top w:val="nil"/>
              <w:left w:val="nil"/>
              <w:bottom w:val="single" w:color="auto" w:sz="8" w:space="0"/>
              <w:right w:val="single" w:color="000000"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lang w:eastAsia="zh-CN"/>
              </w:rPr>
            </w:pPr>
            <w:r>
              <w:rPr>
                <w:rFonts w:hint="eastAsia" w:ascii="宋体" w:hAnsi="宋体" w:eastAsia="宋体" w:cs="宋体"/>
                <w:kern w:val="0"/>
                <w:sz w:val="24"/>
                <w:lang w:val="en-US" w:eastAsia="zh-CN" w:bidi="ar"/>
              </w:rPr>
              <w:t>0</w:t>
            </w:r>
          </w:p>
        </w:tc>
      </w:tr>
      <w:tr>
        <w:tblPrEx>
          <w:tblCellMar>
            <w:top w:w="0" w:type="dxa"/>
            <w:left w:w="0" w:type="dxa"/>
            <w:bottom w:w="0" w:type="dxa"/>
            <w:right w:w="0" w:type="dxa"/>
          </w:tblCellMar>
        </w:tblPrEx>
        <w:trPr>
          <w:trHeight w:val="476" w:hRule="atLeast"/>
          <w:jc w:val="center"/>
        </w:trPr>
        <w:tc>
          <w:tcPr>
            <w:tcW w:w="8401" w:type="dxa"/>
            <w:gridSpan w:val="4"/>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第二十条第（九）项</w:t>
            </w:r>
          </w:p>
        </w:tc>
      </w:tr>
      <w:tr>
        <w:tblPrEx>
          <w:tblCellMar>
            <w:top w:w="0" w:type="dxa"/>
            <w:left w:w="0" w:type="dxa"/>
            <w:bottom w:w="0" w:type="dxa"/>
            <w:right w:w="0" w:type="dxa"/>
          </w:tblCellMar>
        </w:tblPrEx>
        <w:trPr>
          <w:trHeight w:val="585" w:hRule="atLeast"/>
          <w:jc w:val="center"/>
        </w:trPr>
        <w:tc>
          <w:tcPr>
            <w:tcW w:w="271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信息内容</w:t>
            </w:r>
          </w:p>
        </w:tc>
        <w:tc>
          <w:tcPr>
            <w:tcW w:w="200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采购项目数量</w:t>
            </w:r>
          </w:p>
        </w:tc>
        <w:tc>
          <w:tcPr>
            <w:tcW w:w="3687" w:type="dxa"/>
            <w:gridSpan w:val="2"/>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4"/>
                <w:lang w:bidi="ar"/>
              </w:rPr>
              <w:t>采购总金额</w:t>
            </w:r>
          </w:p>
        </w:tc>
      </w:tr>
      <w:tr>
        <w:tblPrEx>
          <w:tblCellMar>
            <w:top w:w="0" w:type="dxa"/>
            <w:left w:w="0" w:type="dxa"/>
            <w:bottom w:w="0" w:type="dxa"/>
            <w:right w:w="0" w:type="dxa"/>
          </w:tblCellMar>
        </w:tblPrEx>
        <w:trPr>
          <w:trHeight w:val="539" w:hRule="atLeast"/>
          <w:jc w:val="center"/>
        </w:trPr>
        <w:tc>
          <w:tcPr>
            <w:tcW w:w="2714"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left"/>
              <w:rPr>
                <w:rFonts w:hint="eastAsia" w:ascii="宋体" w:hAnsi="宋体" w:eastAsia="宋体" w:cs="宋体"/>
                <w:kern w:val="0"/>
                <w:sz w:val="24"/>
              </w:rPr>
            </w:pPr>
            <w:r>
              <w:rPr>
                <w:rFonts w:hint="eastAsia" w:ascii="宋体" w:hAnsi="宋体" w:eastAsia="宋体" w:cs="宋体"/>
                <w:kern w:val="0"/>
                <w:sz w:val="24"/>
                <w:lang w:bidi="ar"/>
              </w:rPr>
              <w:t>政府集中采购</w:t>
            </w:r>
          </w:p>
        </w:tc>
        <w:tc>
          <w:tcPr>
            <w:tcW w:w="2000"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line="60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bidi="ar"/>
              </w:rPr>
              <w:t>0</w:t>
            </w:r>
          </w:p>
        </w:tc>
        <w:tc>
          <w:tcPr>
            <w:tcW w:w="3687" w:type="dxa"/>
            <w:gridSpan w:val="2"/>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widowControl/>
              <w:spacing w:before="225" w:after="225" w:line="600" w:lineRule="exact"/>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w:t>
            </w:r>
          </w:p>
        </w:tc>
      </w:tr>
    </w:tbl>
    <w:p>
      <w:pPr>
        <w:numPr>
          <w:ilvl w:val="0"/>
          <w:numId w:val="1"/>
        </w:numPr>
        <w:spacing w:line="600" w:lineRule="exact"/>
        <w:ind w:firstLine="321" w:firstLineChars="100"/>
        <w:rPr>
          <w:rFonts w:hint="eastAsia" w:ascii="黑体" w:hAnsi="黑体" w:eastAsia="黑体" w:cs="黑体"/>
          <w:b/>
          <w:color w:val="333333"/>
          <w:sz w:val="32"/>
          <w:szCs w:val="32"/>
          <w:shd w:val="clear" w:color="auto" w:fill="FFFFFF"/>
        </w:rPr>
      </w:pPr>
      <w:r>
        <w:rPr>
          <w:rFonts w:hint="eastAsia" w:ascii="黑体" w:hAnsi="黑体" w:eastAsia="黑体" w:cs="黑体"/>
          <w:b/>
          <w:color w:val="333333"/>
          <w:sz w:val="32"/>
          <w:szCs w:val="32"/>
          <w:shd w:val="clear" w:color="auto" w:fill="FFFFFF"/>
        </w:rPr>
        <w:t>收到和处理政府信息公开申请情况</w:t>
      </w:r>
    </w:p>
    <w:tbl>
      <w:tblPr>
        <w:tblStyle w:val="4"/>
        <w:tblW w:w="9071" w:type="dxa"/>
        <w:jc w:val="center"/>
        <w:tblLayout w:type="fixed"/>
        <w:tblCellMar>
          <w:top w:w="0" w:type="dxa"/>
          <w:left w:w="0" w:type="dxa"/>
          <w:bottom w:w="0" w:type="dxa"/>
          <w:right w:w="0" w:type="dxa"/>
        </w:tblCellMar>
      </w:tblPr>
      <w:tblGrid>
        <w:gridCol w:w="690"/>
        <w:gridCol w:w="746"/>
        <w:gridCol w:w="2239"/>
        <w:gridCol w:w="674"/>
        <w:gridCol w:w="758"/>
        <w:gridCol w:w="758"/>
        <w:gridCol w:w="816"/>
        <w:gridCol w:w="978"/>
        <w:gridCol w:w="714"/>
        <w:gridCol w:w="698"/>
      </w:tblGrid>
      <w:tr>
        <w:tblPrEx>
          <w:tblCellMar>
            <w:top w:w="0" w:type="dxa"/>
            <w:left w:w="0" w:type="dxa"/>
            <w:bottom w:w="0" w:type="dxa"/>
            <w:right w:w="0" w:type="dxa"/>
          </w:tblCellMar>
        </w:tblPrEx>
        <w:trPr>
          <w:jc w:val="center"/>
        </w:trPr>
        <w:tc>
          <w:tcPr>
            <w:tcW w:w="3675"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（本列数据的勾稽关系为：第一项加第二项之和，等于第三项加第四项之和）</w:t>
            </w:r>
          </w:p>
        </w:tc>
        <w:tc>
          <w:tcPr>
            <w:tcW w:w="5396"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申请人情况</w:t>
            </w:r>
          </w:p>
        </w:tc>
      </w:tr>
      <w:tr>
        <w:tblPrEx>
          <w:tblCellMar>
            <w:top w:w="0" w:type="dxa"/>
            <w:left w:w="0" w:type="dxa"/>
            <w:bottom w:w="0" w:type="dxa"/>
            <w:right w:w="0" w:type="dxa"/>
          </w:tblCellMar>
        </w:tblPrEx>
        <w:trPr>
          <w:jc w:val="center"/>
        </w:trPr>
        <w:tc>
          <w:tcPr>
            <w:tcW w:w="367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674"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自然人</w:t>
            </w:r>
          </w:p>
        </w:tc>
        <w:tc>
          <w:tcPr>
            <w:tcW w:w="4024"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法人或其他组织</w:t>
            </w:r>
          </w:p>
        </w:tc>
        <w:tc>
          <w:tcPr>
            <w:tcW w:w="69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总计</w:t>
            </w:r>
          </w:p>
        </w:tc>
      </w:tr>
      <w:tr>
        <w:tblPrEx>
          <w:tblCellMar>
            <w:top w:w="0" w:type="dxa"/>
            <w:left w:w="0" w:type="dxa"/>
            <w:bottom w:w="0" w:type="dxa"/>
            <w:right w:w="0" w:type="dxa"/>
          </w:tblCellMar>
        </w:tblPrEx>
        <w:trPr>
          <w:jc w:val="center"/>
        </w:trPr>
        <w:tc>
          <w:tcPr>
            <w:tcW w:w="3675"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674"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商业企业</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科研机构</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社会公益组织</w:t>
            </w:r>
          </w:p>
        </w:tc>
        <w:tc>
          <w:tcPr>
            <w:tcW w:w="97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法律服务机构</w:t>
            </w:r>
          </w:p>
        </w:tc>
        <w:tc>
          <w:tcPr>
            <w:tcW w:w="71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其他</w:t>
            </w:r>
          </w:p>
        </w:tc>
        <w:tc>
          <w:tcPr>
            <w:tcW w:w="69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r>
      <w:tr>
        <w:tblPrEx>
          <w:tblCellMar>
            <w:top w:w="0" w:type="dxa"/>
            <w:left w:w="0" w:type="dxa"/>
            <w:bottom w:w="0" w:type="dxa"/>
            <w:right w:w="0" w:type="dxa"/>
          </w:tblCellMar>
        </w:tblPrEx>
        <w:trPr>
          <w:jc w:val="center"/>
        </w:trPr>
        <w:tc>
          <w:tcPr>
            <w:tcW w:w="3675" w:type="dxa"/>
            <w:gridSpan w:val="3"/>
            <w:tcBorders>
              <w:top w:val="nil"/>
              <w:left w:val="single" w:color="auto" w:sz="8" w:space="0"/>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宋体" w:hAnsi="宋体" w:eastAsia="宋体" w:cs="宋体"/>
                <w:kern w:val="0"/>
                <w:szCs w:val="21"/>
                <w:lang w:bidi="ar"/>
              </w:rPr>
              <w:t>一、本年新收政府信息公开申请数量</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r>
      <w:tr>
        <w:tblPrEx>
          <w:tblCellMar>
            <w:top w:w="0" w:type="dxa"/>
            <w:left w:w="0" w:type="dxa"/>
            <w:bottom w:w="0" w:type="dxa"/>
            <w:right w:w="0" w:type="dxa"/>
          </w:tblCellMar>
        </w:tblPrEx>
        <w:trPr>
          <w:jc w:val="center"/>
        </w:trPr>
        <w:tc>
          <w:tcPr>
            <w:tcW w:w="3675" w:type="dxa"/>
            <w:gridSpan w:val="3"/>
            <w:tcBorders>
              <w:top w:val="nil"/>
              <w:left w:val="single" w:color="auto" w:sz="8" w:space="0"/>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宋体" w:hAnsi="宋体" w:eastAsia="宋体" w:cs="宋体"/>
                <w:kern w:val="0"/>
                <w:szCs w:val="21"/>
                <w:lang w:bidi="ar"/>
              </w:rPr>
              <w:t>二、上年结转政府信息公开申请数量</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r>
      <w:tr>
        <w:tblPrEx>
          <w:tblCellMar>
            <w:top w:w="0" w:type="dxa"/>
            <w:left w:w="0" w:type="dxa"/>
            <w:bottom w:w="0" w:type="dxa"/>
            <w:right w:w="0" w:type="dxa"/>
          </w:tblCellMar>
        </w:tblPrEx>
        <w:trPr>
          <w:jc w:val="center"/>
        </w:trPr>
        <w:tc>
          <w:tcPr>
            <w:tcW w:w="690" w:type="dxa"/>
            <w:vMerge w:val="restart"/>
            <w:tcBorders>
              <w:top w:val="nil"/>
              <w:left w:val="single" w:color="auto" w:sz="8" w:space="0"/>
              <w:bottom w:val="single" w:color="auto" w:sz="8" w:space="0"/>
              <w:right w:val="single" w:color="auto" w:sz="8" w:space="0"/>
            </w:tcBorders>
            <w:noWrap w:val="0"/>
            <w:vAlign w:val="center"/>
          </w:tcPr>
          <w:p>
            <w:pPr>
              <w:widowControl/>
              <w:spacing w:line="300" w:lineRule="exact"/>
              <w:jc w:val="center"/>
              <w:rPr>
                <w:rFonts w:hint="eastAsia" w:ascii="宋体" w:hAnsi="宋体" w:eastAsia="宋体" w:cs="宋体"/>
                <w:kern w:val="0"/>
                <w:sz w:val="24"/>
              </w:rPr>
            </w:pPr>
            <w:r>
              <w:rPr>
                <w:rFonts w:hint="eastAsia" w:ascii="宋体" w:hAnsi="宋体" w:eastAsia="宋体" w:cs="宋体"/>
                <w:kern w:val="0"/>
                <w:sz w:val="24"/>
                <w:lang w:bidi="ar"/>
              </w:rPr>
              <w:t>三、本年度办理结果</w:t>
            </w:r>
          </w:p>
        </w:tc>
        <w:tc>
          <w:tcPr>
            <w:tcW w:w="2985" w:type="dxa"/>
            <w:gridSpan w:val="2"/>
            <w:tcBorders>
              <w:top w:val="nil"/>
              <w:left w:val="nil"/>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（一）予以公开</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1</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0</w:t>
            </w:r>
          </w:p>
        </w:tc>
        <w:tc>
          <w:tcPr>
            <w:tcW w:w="69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eastAsia="zh-CN" w:bidi="ar"/>
              </w:rPr>
            </w:pPr>
            <w:r>
              <w:rPr>
                <w:rFonts w:hint="eastAsia" w:ascii="宋体" w:hAnsi="宋体" w:eastAsia="宋体" w:cs="宋体"/>
                <w:kern w:val="0"/>
                <w:sz w:val="24"/>
                <w:lang w:val="en-US" w:eastAsia="zh-CN" w:bidi="ar"/>
              </w:rPr>
              <w:t>1</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2985" w:type="dxa"/>
            <w:gridSpan w:val="2"/>
            <w:tcBorders>
              <w:top w:val="nil"/>
              <w:left w:val="nil"/>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（二）部分公开（区分处理的，只计这一情形，不计其他情形）</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（三）不予公开</w:t>
            </w:r>
          </w:p>
        </w:tc>
        <w:tc>
          <w:tcPr>
            <w:tcW w:w="223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1.属于国家秘密</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trHeight w:val="1181" w:hRule="atLeast"/>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2.其他法律行政法规禁止公开</w:t>
            </w:r>
          </w:p>
        </w:tc>
        <w:tc>
          <w:tcPr>
            <w:tcW w:w="6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3.危及“三安全一稳定”</w:t>
            </w:r>
          </w:p>
        </w:tc>
        <w:tc>
          <w:tcPr>
            <w:tcW w:w="67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single" w:color="auto" w:sz="8" w:space="0"/>
              <w:left w:val="single" w:color="auto" w:sz="8" w:space="0"/>
              <w:bottom w:val="single" w:color="auto" w:sz="4" w:space="0"/>
              <w:right w:val="single" w:color="auto" w:sz="4"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4.保护第三方合法权益</w:t>
            </w:r>
          </w:p>
        </w:tc>
        <w:tc>
          <w:tcPr>
            <w:tcW w:w="674"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single" w:color="auto" w:sz="4" w:space="0"/>
              <w:left w:val="single" w:color="auto" w:sz="8" w:space="0"/>
              <w:bottom w:val="single" w:color="auto" w:sz="8" w:space="0"/>
              <w:right w:val="single" w:color="auto" w:sz="4"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5.属于三类内部事务信息</w:t>
            </w:r>
          </w:p>
        </w:tc>
        <w:tc>
          <w:tcPr>
            <w:tcW w:w="674"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4" w:space="0"/>
              <w:left w:val="single" w:color="auto" w:sz="4" w:space="0"/>
              <w:bottom w:val="single" w:color="auto" w:sz="8" w:space="0"/>
              <w:right w:val="single" w:color="auto" w:sz="4"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6.属于四类过程性信息</w:t>
            </w:r>
          </w:p>
        </w:tc>
        <w:tc>
          <w:tcPr>
            <w:tcW w:w="67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trHeight w:val="930" w:hRule="atLeast"/>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7.属于行政执法案卷</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8.属于行政查询事项</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single" w:color="auto" w:sz="8" w:space="0"/>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（四）无法提供</w:t>
            </w:r>
          </w:p>
        </w:tc>
        <w:tc>
          <w:tcPr>
            <w:tcW w:w="2239"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1.本机关不掌握相关政府信息</w:t>
            </w:r>
          </w:p>
        </w:tc>
        <w:tc>
          <w:tcPr>
            <w:tcW w:w="67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2.没有现成信息需要另行制作</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trHeight w:val="930" w:hRule="atLeast"/>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3.补正后申请内容仍不明确</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（五）不予处理</w:t>
            </w: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1.信访举报投诉类申请</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2.重复申请</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trHeight w:val="870" w:hRule="atLeast"/>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3.要求提供公开出版物</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4.无正当理由大量反复申请</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746"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300" w:lineRule="exact"/>
              <w:rPr>
                <w:sz w:val="20"/>
                <w:szCs w:val="20"/>
              </w:rPr>
            </w:pPr>
          </w:p>
        </w:tc>
        <w:tc>
          <w:tcPr>
            <w:tcW w:w="2239"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rPr>
            </w:pPr>
            <w:r>
              <w:rPr>
                <w:rFonts w:ascii="Calibri" w:hAnsi="Calibri" w:eastAsia="宋体" w:cs="宋体"/>
                <w:kern w:val="0"/>
                <w:sz w:val="24"/>
                <w:lang w:bidi="ar"/>
              </w:rPr>
              <w:t> 0</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 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2985" w:type="dxa"/>
            <w:gridSpan w:val="2"/>
            <w:tcBorders>
              <w:top w:val="nil"/>
              <w:left w:val="nil"/>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（六）其他处理</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r>
      <w:tr>
        <w:tblPrEx>
          <w:tblCellMar>
            <w:top w:w="0" w:type="dxa"/>
            <w:left w:w="0" w:type="dxa"/>
            <w:bottom w:w="0" w:type="dxa"/>
            <w:right w:w="0" w:type="dxa"/>
          </w:tblCellMar>
        </w:tblPrEx>
        <w:trPr>
          <w:jc w:val="center"/>
        </w:trPr>
        <w:tc>
          <w:tcPr>
            <w:tcW w:w="690" w:type="dxa"/>
            <w:vMerge w:val="continue"/>
            <w:tcBorders>
              <w:top w:val="nil"/>
              <w:left w:val="single" w:color="auto" w:sz="8" w:space="0"/>
              <w:bottom w:val="single" w:color="auto" w:sz="8" w:space="0"/>
              <w:right w:val="single" w:color="auto" w:sz="8" w:space="0"/>
            </w:tcBorders>
            <w:noWrap w:val="0"/>
            <w:vAlign w:val="center"/>
          </w:tcPr>
          <w:p>
            <w:pPr>
              <w:spacing w:line="300" w:lineRule="exact"/>
              <w:rPr>
                <w:sz w:val="20"/>
                <w:szCs w:val="20"/>
              </w:rPr>
            </w:pPr>
          </w:p>
        </w:tc>
        <w:tc>
          <w:tcPr>
            <w:tcW w:w="2985" w:type="dxa"/>
            <w:gridSpan w:val="2"/>
            <w:tcBorders>
              <w:top w:val="nil"/>
              <w:left w:val="nil"/>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楷体" w:hAnsi="楷体" w:eastAsia="楷体" w:cs="宋体"/>
                <w:kern w:val="0"/>
                <w:sz w:val="24"/>
                <w:lang w:bidi="ar"/>
              </w:rPr>
              <w:t>（七）总计</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宋体" w:hAnsi="宋体" w:eastAsia="宋体" w:cs="宋体"/>
                <w:kern w:val="0"/>
                <w:sz w:val="24"/>
                <w:lang w:val="en-US" w:eastAsia="zh-CN" w:bidi="ar"/>
              </w:rPr>
            </w:pPr>
            <w:r>
              <w:rPr>
                <w:rFonts w:hint="eastAsia" w:ascii="宋体" w:hAnsi="宋体" w:eastAsia="宋体" w:cs="宋体"/>
                <w:kern w:val="0"/>
                <w:sz w:val="24"/>
                <w:lang w:val="en-US" w:eastAsia="zh-CN" w:bidi="ar"/>
              </w:rPr>
              <w:t>1</w:t>
            </w:r>
          </w:p>
        </w:tc>
      </w:tr>
      <w:tr>
        <w:tblPrEx>
          <w:tblCellMar>
            <w:top w:w="0" w:type="dxa"/>
            <w:left w:w="0" w:type="dxa"/>
            <w:bottom w:w="0" w:type="dxa"/>
            <w:right w:w="0" w:type="dxa"/>
          </w:tblCellMar>
        </w:tblPrEx>
        <w:trPr>
          <w:jc w:val="center"/>
        </w:trPr>
        <w:tc>
          <w:tcPr>
            <w:tcW w:w="3675" w:type="dxa"/>
            <w:gridSpan w:val="3"/>
            <w:tcBorders>
              <w:top w:val="nil"/>
              <w:left w:val="single" w:color="auto" w:sz="8" w:space="0"/>
              <w:bottom w:val="single" w:color="auto" w:sz="8" w:space="0"/>
              <w:right w:val="single" w:color="auto" w:sz="8" w:space="0"/>
            </w:tcBorders>
            <w:noWrap w:val="0"/>
            <w:vAlign w:val="center"/>
          </w:tcPr>
          <w:p>
            <w:pPr>
              <w:widowControl/>
              <w:spacing w:line="300" w:lineRule="exact"/>
              <w:jc w:val="left"/>
              <w:rPr>
                <w:rFonts w:hint="eastAsia" w:ascii="宋体" w:hAnsi="宋体" w:eastAsia="宋体" w:cs="宋体"/>
                <w:kern w:val="0"/>
                <w:sz w:val="24"/>
              </w:rPr>
            </w:pPr>
            <w:r>
              <w:rPr>
                <w:rFonts w:hint="eastAsia" w:ascii="宋体" w:hAnsi="宋体" w:eastAsia="宋体" w:cs="宋体"/>
                <w:kern w:val="0"/>
                <w:sz w:val="24"/>
                <w:lang w:bidi="ar"/>
              </w:rPr>
              <w:t>四、结转下年度继续办理</w:t>
            </w:r>
          </w:p>
        </w:tc>
        <w:tc>
          <w:tcPr>
            <w:tcW w:w="67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5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816"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97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714"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c>
          <w:tcPr>
            <w:tcW w:w="698"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ascii="宋体" w:hAnsi="宋体" w:eastAsia="宋体" w:cs="宋体"/>
                <w:kern w:val="0"/>
                <w:sz w:val="24"/>
                <w:lang w:bidi="ar"/>
              </w:rPr>
              <w:t>0</w:t>
            </w:r>
          </w:p>
        </w:tc>
      </w:tr>
    </w:tbl>
    <w:p>
      <w:pPr>
        <w:spacing w:line="600" w:lineRule="exact"/>
        <w:rPr>
          <w:rFonts w:hint="eastAsia" w:ascii="黑体" w:eastAsia="黑体"/>
          <w:sz w:val="32"/>
          <w:szCs w:val="32"/>
        </w:rPr>
      </w:pPr>
      <w:r>
        <w:rPr>
          <w:rFonts w:hint="eastAsia" w:ascii="黑体" w:eastAsia="黑体"/>
          <w:sz w:val="32"/>
          <w:szCs w:val="32"/>
        </w:rPr>
        <w:t>四、因政府信息公开申请行政复议、提起行政诉讼的情况</w:t>
      </w:r>
    </w:p>
    <w:tbl>
      <w:tblPr>
        <w:tblStyle w:val="4"/>
        <w:tblW w:w="0" w:type="auto"/>
        <w:jc w:val="center"/>
        <w:tblLayout w:type="autofit"/>
        <w:tblCellMar>
          <w:top w:w="0" w:type="dxa"/>
          <w:left w:w="0" w:type="dxa"/>
          <w:bottom w:w="0" w:type="dxa"/>
          <w:right w:w="0" w:type="dxa"/>
        </w:tblCellMar>
      </w:tblPr>
      <w:tblGrid>
        <w:gridCol w:w="567"/>
        <w:gridCol w:w="567"/>
        <w:gridCol w:w="567"/>
        <w:gridCol w:w="567"/>
        <w:gridCol w:w="569"/>
        <w:gridCol w:w="567"/>
        <w:gridCol w:w="567"/>
        <w:gridCol w:w="567"/>
        <w:gridCol w:w="567"/>
        <w:gridCol w:w="569"/>
        <w:gridCol w:w="567"/>
        <w:gridCol w:w="567"/>
        <w:gridCol w:w="567"/>
        <w:gridCol w:w="567"/>
        <w:gridCol w:w="569"/>
      </w:tblGrid>
      <w:tr>
        <w:tblPrEx>
          <w:tblCellMar>
            <w:top w:w="0" w:type="dxa"/>
            <w:left w:w="0" w:type="dxa"/>
            <w:bottom w:w="0" w:type="dxa"/>
            <w:right w:w="0" w:type="dxa"/>
          </w:tblCellMar>
        </w:tblPrEx>
        <w:trPr>
          <w:jc w:val="center"/>
        </w:trPr>
        <w:tc>
          <w:tcPr>
            <w:tcW w:w="2837"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行政复议</w:t>
            </w:r>
          </w:p>
        </w:tc>
        <w:tc>
          <w:tcPr>
            <w:tcW w:w="5674"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行政诉讼</w:t>
            </w:r>
          </w:p>
        </w:tc>
      </w:tr>
      <w:tr>
        <w:tblPrEx>
          <w:tblCellMar>
            <w:top w:w="0" w:type="dxa"/>
            <w:left w:w="0" w:type="dxa"/>
            <w:bottom w:w="0" w:type="dxa"/>
            <w:right w:w="0" w:type="dxa"/>
          </w:tblCellMar>
        </w:tblPrEx>
        <w:trPr>
          <w:trHeight w:val="355" w:hRule="atLeast"/>
          <w:jc w:val="center"/>
        </w:trPr>
        <w:tc>
          <w:tcPr>
            <w:tcW w:w="567"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结果维持</w:t>
            </w:r>
          </w:p>
        </w:tc>
        <w:tc>
          <w:tcPr>
            <w:tcW w:w="567" w:type="dxa"/>
            <w:vMerge w:val="restart"/>
            <w:tcBorders>
              <w:top w:val="nil"/>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结果纠正</w:t>
            </w:r>
          </w:p>
        </w:tc>
        <w:tc>
          <w:tcPr>
            <w:tcW w:w="56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其他结果</w:t>
            </w:r>
          </w:p>
        </w:tc>
        <w:tc>
          <w:tcPr>
            <w:tcW w:w="56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尚未审结</w:t>
            </w:r>
          </w:p>
        </w:tc>
        <w:tc>
          <w:tcPr>
            <w:tcW w:w="567"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总计</w:t>
            </w:r>
          </w:p>
        </w:tc>
        <w:tc>
          <w:tcPr>
            <w:tcW w:w="283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未经复议直接起诉</w:t>
            </w:r>
          </w:p>
        </w:tc>
        <w:tc>
          <w:tcPr>
            <w:tcW w:w="283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复议后起诉</w:t>
            </w:r>
          </w:p>
        </w:tc>
      </w:tr>
      <w:tr>
        <w:tblPrEx>
          <w:tblCellMar>
            <w:top w:w="0" w:type="dxa"/>
            <w:left w:w="0" w:type="dxa"/>
            <w:bottom w:w="0" w:type="dxa"/>
            <w:right w:w="0" w:type="dxa"/>
          </w:tblCellMar>
        </w:tblPrEx>
        <w:trPr>
          <w:jc w:val="center"/>
        </w:trPr>
        <w:tc>
          <w:tcPr>
            <w:tcW w:w="56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600" w:lineRule="exact"/>
              <w:rPr>
                <w:sz w:val="20"/>
                <w:szCs w:val="20"/>
              </w:rPr>
            </w:pPr>
          </w:p>
        </w:tc>
        <w:tc>
          <w:tcPr>
            <w:tcW w:w="567" w:type="dxa"/>
            <w:vMerge w:val="continue"/>
            <w:tcBorders>
              <w:top w:val="nil"/>
              <w:left w:val="nil"/>
              <w:bottom w:val="single" w:color="auto" w:sz="8" w:space="0"/>
              <w:right w:val="single" w:color="auto" w:sz="8" w:space="0"/>
            </w:tcBorders>
            <w:noWrap w:val="0"/>
            <w:tcMar>
              <w:left w:w="108" w:type="dxa"/>
              <w:right w:w="108" w:type="dxa"/>
            </w:tcMar>
            <w:vAlign w:val="center"/>
          </w:tcPr>
          <w:p>
            <w:pPr>
              <w:spacing w:line="600" w:lineRule="exact"/>
              <w:rPr>
                <w:sz w:val="20"/>
                <w:szCs w:val="20"/>
              </w:rPr>
            </w:pPr>
          </w:p>
        </w:tc>
        <w:tc>
          <w:tcPr>
            <w:tcW w:w="56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600" w:lineRule="exact"/>
              <w:rPr>
                <w:sz w:val="20"/>
                <w:szCs w:val="20"/>
              </w:rPr>
            </w:pPr>
          </w:p>
        </w:tc>
        <w:tc>
          <w:tcPr>
            <w:tcW w:w="56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600" w:lineRule="exact"/>
              <w:rPr>
                <w:sz w:val="20"/>
                <w:szCs w:val="20"/>
              </w:rPr>
            </w:pPr>
          </w:p>
        </w:tc>
        <w:tc>
          <w:tcPr>
            <w:tcW w:w="567"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600" w:lineRule="exact"/>
              <w:rPr>
                <w:sz w:val="20"/>
                <w:szCs w:val="20"/>
              </w:rPr>
            </w:pP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结果维持</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结果纠正</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其他结果</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尚未审结</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color w:val="000000"/>
                <w:kern w:val="0"/>
                <w:sz w:val="20"/>
                <w:szCs w:val="20"/>
                <w:lang w:bidi="ar"/>
              </w:rPr>
              <w:t>总计</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结果维持</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结果纠正</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color w:val="000000"/>
                <w:kern w:val="0"/>
                <w:sz w:val="20"/>
                <w:szCs w:val="20"/>
                <w:lang w:bidi="ar"/>
              </w:rPr>
              <w:t>其他结果</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kern w:val="0"/>
                <w:sz w:val="20"/>
                <w:szCs w:val="20"/>
                <w:lang w:bidi="ar"/>
              </w:rPr>
              <w:t>尚未审结</w:t>
            </w:r>
          </w:p>
        </w:tc>
        <w:tc>
          <w:tcPr>
            <w:tcW w:w="567" w:type="dxa"/>
            <w:tcBorders>
              <w:top w:val="single" w:color="auto" w:sz="8" w:space="0"/>
              <w:left w:val="nil"/>
              <w:bottom w:val="single" w:color="auto" w:sz="8" w:space="0"/>
              <w:right w:val="single" w:color="auto" w:sz="8" w:space="0"/>
            </w:tcBorders>
            <w:noWrap w:val="0"/>
            <w:tcMar>
              <w:left w:w="108" w:type="dxa"/>
              <w:right w:w="108" w:type="dxa"/>
            </w:tcMar>
            <w:vAlign w:val="center"/>
          </w:tcPr>
          <w:p>
            <w:pPr>
              <w:widowControl/>
              <w:spacing w:line="600" w:lineRule="exact"/>
              <w:jc w:val="center"/>
              <w:rPr>
                <w:rFonts w:hint="eastAsia" w:ascii="宋体" w:hAnsi="宋体" w:eastAsia="宋体" w:cs="宋体"/>
                <w:kern w:val="0"/>
                <w:sz w:val="24"/>
              </w:rPr>
            </w:pPr>
            <w:r>
              <w:rPr>
                <w:rFonts w:hint="eastAsia" w:ascii="宋体" w:hAnsi="宋体" w:eastAsia="宋体" w:cs="宋体"/>
                <w:color w:val="000000"/>
                <w:kern w:val="0"/>
                <w:sz w:val="20"/>
                <w:szCs w:val="20"/>
                <w:lang w:bidi="ar"/>
              </w:rPr>
              <w:t>总计</w:t>
            </w:r>
          </w:p>
        </w:tc>
      </w:tr>
      <w:tr>
        <w:tblPrEx>
          <w:tblCellMar>
            <w:top w:w="0" w:type="dxa"/>
            <w:left w:w="0" w:type="dxa"/>
            <w:bottom w:w="0" w:type="dxa"/>
            <w:right w:w="0" w:type="dxa"/>
          </w:tblCellMar>
        </w:tblPrEx>
        <w:trPr>
          <w:trHeight w:val="715" w:hRule="atLeast"/>
          <w:jc w:val="center"/>
        </w:trPr>
        <w:tc>
          <w:tcPr>
            <w:tcW w:w="56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c>
          <w:tcPr>
            <w:tcW w:w="567" w:type="dxa"/>
            <w:tcBorders>
              <w:top w:val="nil"/>
              <w:left w:val="nil"/>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宋体" w:hAnsi="宋体" w:eastAsia="宋体" w:cs="宋体"/>
                <w:kern w:val="0"/>
                <w:sz w:val="24"/>
                <w:lang w:bidi="ar"/>
              </w:rPr>
            </w:pPr>
            <w:r>
              <w:rPr>
                <w:rFonts w:hint="eastAsia" w:ascii="宋体" w:hAnsi="宋体" w:eastAsia="宋体" w:cs="宋体"/>
                <w:kern w:val="0"/>
                <w:sz w:val="24"/>
                <w:lang w:bidi="ar"/>
              </w:rPr>
              <w:t>0</w:t>
            </w:r>
          </w:p>
        </w:tc>
      </w:tr>
    </w:tbl>
    <w:p>
      <w:pPr>
        <w:spacing w:line="600" w:lineRule="exact"/>
        <w:ind w:firstLine="640" w:firstLineChars="200"/>
        <w:rPr>
          <w:rFonts w:hint="eastAsia" w:ascii="黑体" w:eastAsia="黑体"/>
          <w:sz w:val="32"/>
          <w:szCs w:val="32"/>
        </w:rPr>
      </w:pPr>
      <w:r>
        <w:rPr>
          <w:rFonts w:hint="eastAsia" w:ascii="黑体" w:eastAsia="黑体"/>
          <w:sz w:val="32"/>
          <w:szCs w:val="32"/>
        </w:rPr>
        <w:t>五、存在的主要问题及改进情况</w:t>
      </w:r>
    </w:p>
    <w:p>
      <w:pPr>
        <w:spacing w:line="600" w:lineRule="exact"/>
        <w:ind w:firstLine="643" w:firstLineChars="200"/>
        <w:rPr>
          <w:rFonts w:hint="eastAsia" w:ascii="楷体_GB2312" w:hAnsi="楷体" w:eastAsia="楷体_GB2312"/>
          <w:b/>
          <w:bCs/>
          <w:sz w:val="32"/>
          <w:szCs w:val="32"/>
        </w:rPr>
      </w:pPr>
      <w:r>
        <w:rPr>
          <w:rFonts w:hint="eastAsia" w:ascii="楷体_GB2312" w:hAnsi="楷体" w:eastAsia="楷体_GB2312"/>
          <w:b/>
          <w:bCs/>
          <w:sz w:val="32"/>
          <w:szCs w:val="32"/>
        </w:rPr>
        <w:t>（一）主要问题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工作创新能力仍需进一步增强，</w:t>
      </w:r>
      <w:r>
        <w:rPr>
          <w:rFonts w:hint="eastAsia" w:ascii="仿宋_GB2312" w:eastAsia="仿宋_GB2312" w:cs="Times New Roman"/>
          <w:kern w:val="2"/>
          <w:sz w:val="32"/>
          <w:szCs w:val="32"/>
          <w:lang w:val="en-US" w:eastAsia="zh-CN" w:bidi="ar-SA"/>
        </w:rPr>
        <w:t>面对日新月异的</w:t>
      </w:r>
      <w:r>
        <w:rPr>
          <w:rFonts w:hint="eastAsia" w:ascii="仿宋_GB2312" w:hAnsi="Times New Roman" w:eastAsia="仿宋_GB2312" w:cs="Times New Roman"/>
          <w:kern w:val="2"/>
          <w:sz w:val="32"/>
          <w:szCs w:val="32"/>
          <w:lang w:val="en-US" w:eastAsia="zh-CN" w:bidi="ar-SA"/>
        </w:rPr>
        <w:t>互联网</w:t>
      </w:r>
      <w:r>
        <w:rPr>
          <w:rFonts w:hint="eastAsia" w:ascii="仿宋_GB2312" w:eastAsia="仿宋_GB2312" w:cs="Times New Roman"/>
          <w:kern w:val="2"/>
          <w:sz w:val="32"/>
          <w:szCs w:val="32"/>
          <w:lang w:val="en-US" w:eastAsia="zh-CN" w:bidi="ar-SA"/>
        </w:rPr>
        <w:t>和</w:t>
      </w:r>
      <w:r>
        <w:rPr>
          <w:rFonts w:hint="eastAsia" w:ascii="仿宋_GB2312" w:hAnsi="Times New Roman" w:eastAsia="仿宋_GB2312" w:cs="Times New Roman"/>
          <w:kern w:val="2"/>
          <w:sz w:val="32"/>
          <w:szCs w:val="32"/>
          <w:lang w:val="en-US" w:eastAsia="zh-CN" w:bidi="ar-SA"/>
        </w:rPr>
        <w:t>新媒体，政府信息公开发布的方式方法需不断更新优化</w:t>
      </w:r>
      <w:r>
        <w:rPr>
          <w:rFonts w:hint="eastAsia" w:ascii="仿宋_GB2312" w:eastAsia="仿宋_GB2312" w:cs="Times New Roman"/>
          <w:kern w:val="2"/>
          <w:sz w:val="32"/>
          <w:szCs w:val="32"/>
          <w:lang w:val="en-US" w:eastAsia="zh-CN" w:bidi="ar-SA"/>
        </w:rPr>
        <w:t>；</w:t>
      </w:r>
      <w:r>
        <w:rPr>
          <w:rFonts w:hint="eastAsia" w:ascii="仿宋_GB2312" w:hAnsi="Times New Roman" w:eastAsia="仿宋_GB2312" w:cs="Times New Roman"/>
          <w:kern w:val="2"/>
          <w:sz w:val="32"/>
          <w:szCs w:val="32"/>
          <w:lang w:val="en-US" w:eastAsia="zh-CN" w:bidi="ar-SA"/>
        </w:rPr>
        <w:t>推动政务公开和政府信息公开的力度不够，公开内容不具体，政务公开工作还不够深入。</w:t>
      </w:r>
    </w:p>
    <w:p>
      <w:pPr>
        <w:spacing w:line="600" w:lineRule="exact"/>
        <w:ind w:firstLine="643" w:firstLineChars="200"/>
        <w:rPr>
          <w:rFonts w:hint="eastAsia" w:ascii="楷体_GB2312" w:hAnsi="楷体" w:eastAsia="楷体_GB2312"/>
          <w:b/>
          <w:bCs/>
          <w:sz w:val="32"/>
          <w:szCs w:val="32"/>
          <w:lang w:val="en-US" w:eastAsia="zh-CN"/>
        </w:rPr>
      </w:pPr>
      <w:r>
        <w:rPr>
          <w:rFonts w:hint="eastAsia" w:ascii="楷体_GB2312" w:hAnsi="楷体" w:eastAsia="楷体_GB2312"/>
          <w:b/>
          <w:bCs/>
          <w:sz w:val="32"/>
          <w:szCs w:val="32"/>
        </w:rPr>
        <w:t>（</w:t>
      </w:r>
      <w:r>
        <w:rPr>
          <w:rFonts w:hint="eastAsia" w:ascii="楷体_GB2312" w:hAnsi="楷体" w:eastAsia="楷体_GB2312"/>
          <w:b/>
          <w:bCs/>
          <w:sz w:val="32"/>
          <w:szCs w:val="32"/>
          <w:lang w:eastAsia="zh-CN"/>
        </w:rPr>
        <w:t>二</w:t>
      </w:r>
      <w:r>
        <w:rPr>
          <w:rFonts w:hint="eastAsia" w:ascii="楷体_GB2312" w:hAnsi="楷体" w:eastAsia="楷体_GB2312"/>
          <w:b/>
          <w:bCs/>
          <w:sz w:val="32"/>
          <w:szCs w:val="32"/>
        </w:rPr>
        <w:t>）</w:t>
      </w:r>
      <w:r>
        <w:rPr>
          <w:rFonts w:hint="eastAsia" w:ascii="楷体_GB2312" w:hAnsi="楷体" w:eastAsia="楷体_GB2312"/>
          <w:b/>
          <w:bCs/>
          <w:sz w:val="32"/>
          <w:szCs w:val="32"/>
          <w:lang w:val="en-US" w:eastAsia="zh-CN"/>
        </w:rPr>
        <w:t>改进措施</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val="en-US" w:eastAsia="zh-CN"/>
        </w:rPr>
        <w:t>1.加大对政府信息公开的宣传力度。</w:t>
      </w:r>
      <w:r>
        <w:rPr>
          <w:rFonts w:hint="eastAsia" w:ascii="仿宋_GB2312" w:hAnsi="Times New Roman" w:eastAsia="仿宋_GB2312" w:cs="Times New Roman"/>
          <w:kern w:val="2"/>
          <w:sz w:val="32"/>
          <w:szCs w:val="32"/>
          <w:lang w:val="en-US" w:eastAsia="zh-CN" w:bidi="ar-SA"/>
        </w:rPr>
        <w:t>充分利用政府网户站、微信公众号</w:t>
      </w:r>
      <w:r>
        <w:rPr>
          <w:rFonts w:hint="eastAsia" w:ascii="仿宋_GB2312" w:hAnsi="Times New Roman" w:eastAsia="仿宋_GB2312" w:cs="Times New Roman"/>
          <w:kern w:val="2"/>
          <w:sz w:val="32"/>
          <w:szCs w:val="32"/>
          <w:lang w:val="en-US" w:eastAsia="zh-CN" w:bidi="ar-SA"/>
        </w:rPr>
        <w:t>、报刊等新闻媒体，多形式地开展政府信息公开的宣传工作，及时宣传报道和表扬先进典型，使政府信息公开成为公众关注的重点，舆论、群众监督的焦点，形成推进政府信息公开工作的合力。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val="en-US" w:eastAsia="zh-CN"/>
        </w:rPr>
        <w:t>2.进一步健全长效机制。</w:t>
      </w:r>
      <w:r>
        <w:rPr>
          <w:rFonts w:hint="eastAsia" w:ascii="仿宋_GB2312" w:hAnsi="Times New Roman" w:eastAsia="仿宋_GB2312" w:cs="Times New Roman"/>
          <w:kern w:val="2"/>
          <w:sz w:val="32"/>
          <w:szCs w:val="32"/>
          <w:lang w:val="en-US" w:eastAsia="zh-CN" w:bidi="ar-SA"/>
        </w:rPr>
        <w:t>建立和完善政府信息公开内容审查和更新维护、考核评估、监督检查等工作制度，确保政府信息公开工作制度化、规范化发展。针对不断出现的新情况、新问题、新热点，及时更新信息内容、提高信息量和质量，使广大公众能够获取更为及时、丰富的信息服务。 </w:t>
      </w:r>
    </w:p>
    <w:p>
      <w:pPr>
        <w:tabs>
          <w:tab w:val="left" w:pos="7020"/>
        </w:tabs>
        <w:spacing w:line="600" w:lineRule="exact"/>
        <w:ind w:firstLine="630"/>
        <w:rPr>
          <w:rFonts w:hint="eastAsia" w:ascii="仿宋_GB2312" w:eastAsia="仿宋_GB2312"/>
          <w:sz w:val="32"/>
          <w:szCs w:val="32"/>
        </w:rPr>
      </w:pPr>
      <w:r>
        <w:rPr>
          <w:rFonts w:hint="eastAsia" w:ascii="黑体" w:eastAsia="黑体"/>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sz w:val="32"/>
          <w:szCs w:val="32"/>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p>
    <w:p>
      <w:pPr>
        <w:spacing w:line="600" w:lineRule="exact"/>
        <w:ind w:firstLine="640" w:firstLineChars="200"/>
        <w:rPr>
          <w:rFonts w:hint="eastAsia" w:ascii="仿宋_GB2312" w:eastAsia="仿宋_GB2312"/>
          <w:sz w:val="32"/>
          <w:szCs w:val="32"/>
        </w:rPr>
      </w:pPr>
    </w:p>
    <w:p>
      <w:pPr>
        <w:widowControl/>
        <w:spacing w:line="60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eastAsia="zh-CN"/>
        </w:rPr>
        <w:t>龙门镇</w:t>
      </w:r>
      <w:r>
        <w:rPr>
          <w:rFonts w:hint="eastAsia" w:ascii="仿宋_GB2312" w:hAnsi="宋体" w:eastAsia="仿宋_GB2312" w:cs="宋体"/>
          <w:kern w:val="0"/>
          <w:sz w:val="32"/>
          <w:szCs w:val="32"/>
        </w:rPr>
        <w:t>人民政府办公室</w:t>
      </w:r>
    </w:p>
    <w:p>
      <w:pPr>
        <w:widowControl/>
        <w:spacing w:line="600" w:lineRule="exact"/>
        <w:rPr>
          <w:rFonts w:hint="eastAsia" w:ascii="仿宋_GB2312" w:hAnsi="仿宋_GB2312" w:eastAsia="仿宋_GB2312" w:cs="仿宋_GB2312"/>
          <w:kern w:val="0"/>
          <w:sz w:val="32"/>
          <w:szCs w:val="32"/>
        </w:rPr>
      </w:pPr>
      <w:r>
        <w:rPr>
          <w:rFonts w:hint="eastAsia" w:ascii="仿宋_GB2312" w:hAnsi="宋体" w:eastAsia="仿宋_GB2312" w:cs="宋体"/>
          <w:kern w:val="0"/>
          <w:sz w:val="32"/>
          <w:szCs w:val="32"/>
        </w:rPr>
        <w:t xml:space="preserve">                                   202</w:t>
      </w:r>
      <w:r>
        <w:rPr>
          <w:rFonts w:hint="eastAsia" w:ascii="仿宋_GB2312" w:hAnsi="宋体" w:eastAsia="仿宋_GB2312" w:cs="宋体"/>
          <w:kern w:val="0"/>
          <w:sz w:val="32"/>
          <w:szCs w:val="32"/>
          <w:lang w:val="en-US" w:eastAsia="zh-CN"/>
        </w:rPr>
        <w:t>1</w:t>
      </w:r>
      <w:r>
        <w:rPr>
          <w:rFonts w:hint="eastAsia" w:ascii="仿宋_GB2312" w:hAnsi="仿宋_GB2312" w:eastAsia="仿宋_GB2312" w:cs="仿宋_GB2312"/>
          <w:kern w:val="0"/>
          <w:sz w:val="32"/>
          <w:szCs w:val="32"/>
        </w:rPr>
        <w:t>年1月</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日</w:t>
      </w:r>
    </w:p>
    <w:p>
      <w:pPr>
        <w:widowControl/>
        <w:spacing w:line="600" w:lineRule="exact"/>
        <w:rPr>
          <w:rFonts w:hint="eastAsia" w:ascii="仿宋_GB2312" w:hAnsi="仿宋_GB2312" w:eastAsia="仿宋_GB2312" w:cs="仿宋_GB2312"/>
          <w:kern w:val="0"/>
          <w:sz w:val="32"/>
          <w:szCs w:val="32"/>
        </w:rPr>
      </w:pPr>
      <w:bookmarkStart w:id="0" w:name="_GoBack"/>
      <w:bookmarkEnd w:id="0"/>
    </w:p>
    <w:p>
      <w:pPr>
        <w:widowControl/>
        <w:spacing w:line="600" w:lineRule="exac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（此件公开发布）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2DDA"/>
    <w:multiLevelType w:val="singleLevel"/>
    <w:tmpl w:val="03C82DD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36170"/>
    <w:rsid w:val="004831AD"/>
    <w:rsid w:val="02EA4B8D"/>
    <w:rsid w:val="08E54B52"/>
    <w:rsid w:val="11723EEF"/>
    <w:rsid w:val="1DA5116D"/>
    <w:rsid w:val="2AB63E3D"/>
    <w:rsid w:val="2EA31617"/>
    <w:rsid w:val="36D711BB"/>
    <w:rsid w:val="3898727A"/>
    <w:rsid w:val="3A517286"/>
    <w:rsid w:val="491D073A"/>
    <w:rsid w:val="522D06F4"/>
    <w:rsid w:val="55D03534"/>
    <w:rsid w:val="5B8778DD"/>
    <w:rsid w:val="5CB14F9F"/>
    <w:rsid w:val="68E3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黑体_GBK" w:cs="Times New Roman"/>
      <w:kern w:val="2"/>
      <w:sz w:val="21"/>
      <w:szCs w:val="24"/>
      <w:lang w:val="en-US" w:eastAsia="zh-CN" w:bidi="ar-SA"/>
    </w:rPr>
  </w:style>
  <w:style w:type="character" w:default="1" w:styleId="5">
    <w:name w:val="Default Paragraph Font"/>
    <w:link w:val="6"/>
    <w:semiHidden/>
    <w:uiPriority w:val="0"/>
    <w:rPr>
      <w:rFonts w:ascii="Verdana" w:hAnsi="Verdana" w:eastAsia="黑体"/>
      <w:kern w:val="0"/>
      <w:sz w:val="28"/>
      <w:szCs w:val="20"/>
      <w:lang w:eastAsia="en-US"/>
    </w:rPr>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Char Char Char"/>
    <w:basedOn w:val="1"/>
    <w:link w:val="5"/>
    <w:uiPriority w:val="0"/>
    <w:pPr>
      <w:widowControl/>
      <w:spacing w:after="160" w:line="240" w:lineRule="exact"/>
      <w:jc w:val="left"/>
    </w:pPr>
    <w:rPr>
      <w:rFonts w:ascii="Verdana" w:hAnsi="Verdana" w:eastAsia="黑体"/>
      <w:kern w:val="0"/>
      <w:sz w:val="28"/>
      <w:szCs w:val="20"/>
      <w:lang w:eastAsia="en-US"/>
    </w:rPr>
  </w:style>
  <w:style w:type="character" w:styleId="7">
    <w:name w:val="page number"/>
    <w:basedOn w:val="5"/>
    <w:uiPriority w:val="0"/>
  </w:style>
  <w:style w:type="character" w:styleId="8">
    <w:name w:val="FollowedHyperlink"/>
    <w:basedOn w:val="5"/>
    <w:uiPriority w:val="0"/>
    <w:rPr>
      <w:color w:val="333333"/>
      <w:u w:val="none"/>
    </w:rPr>
  </w:style>
  <w:style w:type="character" w:styleId="9">
    <w:name w:val="Emphasis"/>
    <w:basedOn w:val="5"/>
    <w:qFormat/>
    <w:uiPriority w:val="0"/>
  </w:style>
  <w:style w:type="character" w:styleId="10">
    <w:name w:val="Hyperlink"/>
    <w:basedOn w:val="5"/>
    <w:uiPriority w:val="0"/>
    <w:rPr>
      <w:color w:val="0000FF"/>
      <w:u w:val="single"/>
    </w:rPr>
  </w:style>
  <w:style w:type="character" w:customStyle="1" w:styleId="11">
    <w:name w:val="act"/>
    <w:basedOn w:val="5"/>
    <w:uiPriority w:val="0"/>
    <w:rPr>
      <w:color w:val="FFFFFF"/>
      <w:shd w:val="clear" w:fill="067AC3"/>
    </w:rPr>
  </w:style>
  <w:style w:type="character" w:customStyle="1" w:styleId="12">
    <w:name w:val="icon07"/>
    <w:basedOn w:val="5"/>
    <w:uiPriority w:val="0"/>
  </w:style>
  <w:style w:type="character" w:customStyle="1" w:styleId="13">
    <w:name w:val="icon06"/>
    <w:basedOn w:val="5"/>
    <w:uiPriority w:val="0"/>
  </w:style>
  <w:style w:type="character" w:customStyle="1" w:styleId="14">
    <w:name w:val="hover7"/>
    <w:basedOn w:val="5"/>
    <w:uiPriority w:val="0"/>
    <w:rPr>
      <w:color w:val="FFFFFF"/>
      <w:shd w:val="clear" w:fill="067AC3"/>
    </w:rPr>
  </w:style>
  <w:style w:type="character" w:customStyle="1" w:styleId="15">
    <w:name w:val="icon01"/>
    <w:basedOn w:val="5"/>
    <w:uiPriority w:val="0"/>
  </w:style>
  <w:style w:type="character" w:customStyle="1" w:styleId="16">
    <w:name w:val="icon011"/>
    <w:basedOn w:val="5"/>
    <w:uiPriority w:val="0"/>
    <w:rPr>
      <w:color w:val="777777"/>
      <w:sz w:val="21"/>
      <w:szCs w:val="21"/>
    </w:rPr>
  </w:style>
  <w:style w:type="character" w:customStyle="1" w:styleId="17">
    <w:name w:val="icon03"/>
    <w:basedOn w:val="5"/>
    <w:uiPriority w:val="0"/>
  </w:style>
  <w:style w:type="character" w:customStyle="1" w:styleId="18">
    <w:name w:val="icon08"/>
    <w:basedOn w:val="5"/>
    <w:uiPriority w:val="0"/>
  </w:style>
  <w:style w:type="character" w:customStyle="1" w:styleId="19">
    <w:name w:val="icon02"/>
    <w:basedOn w:val="5"/>
    <w:uiPriority w:val="0"/>
  </w:style>
  <w:style w:type="character" w:customStyle="1" w:styleId="20">
    <w:name w:val="icon021"/>
    <w:basedOn w:val="5"/>
    <w:uiPriority w:val="0"/>
    <w:rPr>
      <w:color w:val="777777"/>
    </w:rPr>
  </w:style>
  <w:style w:type="character" w:customStyle="1" w:styleId="21">
    <w:name w:val="icon05"/>
    <w:basedOn w:val="5"/>
    <w:uiPriority w:val="0"/>
  </w:style>
  <w:style w:type="character" w:customStyle="1" w:styleId="22">
    <w:name w:val="icon04"/>
    <w:basedOn w:val="5"/>
    <w:uiPriority w:val="0"/>
  </w:style>
  <w:style w:type="character" w:customStyle="1" w:styleId="23">
    <w:name w:val="icon09"/>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2021-01-04T03:24:00Z</dcterms:created>
  <dc:creator>Rmam</dc:creator>
  <cp:lastModifiedBy>Rmam</cp:lastModifiedBy>
  <dcterms:modified xsi:type="dcterms:W3CDTF">2021-01-05T07:13:50Z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