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ind w:left="0" w:leftChars="0" w:firstLine="640" w:firstLineChars="200"/>
        <w:jc w:val="center"/>
        <w:textAlignment w:val="auto"/>
        <w:rPr>
          <w:rFonts w:hint="eastAsia" w:ascii="仿宋_GB2312" w:hAnsi="仿宋_GB2312" w:eastAsia="宋体"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center"/>
        <w:textAlignment w:val="auto"/>
        <w:rPr>
          <w:rFonts w:hint="eastAsia" w:ascii="仿宋_GB2312" w:hAnsi="仿宋_GB2312" w:eastAsia="宋体"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center"/>
        <w:textAlignment w:val="auto"/>
        <w:rPr>
          <w:rFonts w:hint="eastAsia" w:ascii="仿宋_GB2312" w:hAnsi="仿宋_GB2312" w:eastAsia="宋体"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jc w:val="center"/>
        <w:textAlignment w:val="auto"/>
        <w:rPr>
          <w:rFonts w:hint="eastAsia" w:ascii="仿宋_GB2312" w:hAnsi="仿宋_GB2312" w:eastAsia="宋体"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640" w:firstLineChars="200"/>
        <w:textAlignment w:val="auto"/>
        <w:rPr>
          <w:rFonts w:hint="eastAsia" w:ascii="仿宋_GB2312" w:hAnsi="仿宋_GB2312" w:eastAsia="宋体" w:cs="仿宋_GB2312"/>
          <w:sz w:val="32"/>
          <w:szCs w:val="32"/>
        </w:rPr>
      </w:pPr>
    </w:p>
    <w:p>
      <w:pPr>
        <w:keepNext w:val="0"/>
        <w:keepLines w:val="0"/>
        <w:pageBreakBefore w:val="0"/>
        <w:widowControl w:val="0"/>
        <w:kinsoku/>
        <w:wordWrap/>
        <w:overflowPunct/>
        <w:topLinePunct w:val="0"/>
        <w:autoSpaceDE/>
        <w:autoSpaceDN/>
        <w:bidi w:val="0"/>
        <w:spacing w:line="560" w:lineRule="exact"/>
        <w:ind w:left="0" w:leftChars="0" w:firstLine="480" w:firstLineChars="200"/>
        <w:textAlignment w:val="auto"/>
        <w:rPr>
          <w:rFonts w:hint="eastAsia" w:ascii="仿宋_GB2312" w:hAnsi="仿宋_GB2312" w:eastAsia="宋体" w:cs="仿宋_GB2312"/>
          <w:sz w:val="24"/>
          <w:szCs w:val="24"/>
        </w:rPr>
      </w:pPr>
    </w:p>
    <w:p>
      <w:pPr>
        <w:keepNext w:val="0"/>
        <w:keepLines w:val="0"/>
        <w:pageBreakBefore w:val="0"/>
        <w:widowControl w:val="0"/>
        <w:kinsoku/>
        <w:wordWrap/>
        <w:overflowPunct/>
        <w:topLinePunct w:val="0"/>
        <w:autoSpaceDE/>
        <w:autoSpaceDN/>
        <w:bidi w:val="0"/>
        <w:spacing w:after="0" w:line="560"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spacing w:after="0" w:line="560" w:lineRule="exact"/>
        <w:ind w:left="0" w:leftChars="0" w:firstLine="640" w:firstLineChars="200"/>
        <w:jc w:val="both"/>
        <w:textAlignment w:val="auto"/>
        <w:rPr>
          <w:rFonts w:hint="eastAsia" w:ascii="Times New Roman" w:hAnsi="Times New Roman" w:eastAsia="仿宋_GB2312" w:cs="Times New Roman"/>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蓝政〔202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rPr>
        <w:t>号</w:t>
      </w:r>
    </w:p>
    <w:p>
      <w:pPr>
        <w:keepNext w:val="0"/>
        <w:keepLines w:val="0"/>
        <w:pageBreakBefore w:val="0"/>
        <w:widowControl w:val="0"/>
        <w:kinsoku/>
        <w:wordWrap/>
        <w:overflowPunct/>
        <w:topLinePunct w:val="0"/>
        <w:autoSpaceDE/>
        <w:autoSpaceDN/>
        <w:bidi w:val="0"/>
        <w:spacing w:line="560" w:lineRule="exact"/>
        <w:jc w:val="both"/>
        <w:textAlignment w:val="auto"/>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关于开展202</w:t>
      </w:r>
      <w:r>
        <w:rPr>
          <w:rFonts w:ascii="方正小标宋简体" w:hAnsi="方正小标宋简体" w:eastAsia="方正小标宋简体" w:cs="方正小标宋简体"/>
          <w:sz w:val="44"/>
          <w:szCs w:val="44"/>
        </w:rPr>
        <w:t>4</w:t>
      </w:r>
      <w:r>
        <w:rPr>
          <w:rFonts w:hint="eastAsia" w:ascii="方正小标宋简体" w:hAnsi="方正小标宋简体" w:eastAsia="方正小标宋简体" w:cs="方正小标宋简体"/>
          <w:sz w:val="44"/>
          <w:szCs w:val="44"/>
        </w:rPr>
        <w:t>年春季森林防火</w:t>
      </w:r>
    </w:p>
    <w:p>
      <w:pPr>
        <w:keepNext w:val="0"/>
        <w:keepLines w:val="0"/>
        <w:pageBreakBefore w:val="0"/>
        <w:widowControl w:val="0"/>
        <w:kinsoku/>
        <w:wordWrap/>
        <w:overflowPunct/>
        <w:topLinePunct w:val="0"/>
        <w:bidi w:val="0"/>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宣传月活动的通知</w:t>
      </w:r>
    </w:p>
    <w:p>
      <w:pPr>
        <w:keepNext w:val="0"/>
        <w:keepLines w:val="0"/>
        <w:pageBreakBefore w:val="0"/>
        <w:widowControl w:val="0"/>
        <w:kinsoku/>
        <w:wordWrap/>
        <w:overflowPunct/>
        <w:topLinePunct w:val="0"/>
        <w:bidi w:val="0"/>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szCs w:val="32"/>
        </w:rPr>
      </w:pPr>
      <w:r>
        <w:rPr>
          <w:rFonts w:hint="eastAsia" w:ascii="仿宋_GB2312"/>
          <w:szCs w:val="32"/>
        </w:rPr>
        <w:t>各村</w:t>
      </w:r>
      <w:r>
        <w:rPr>
          <w:rFonts w:hint="eastAsia" w:ascii="仿宋_GB2312"/>
          <w:szCs w:val="32"/>
          <w:lang w:eastAsia="zh-CN"/>
        </w:rPr>
        <w:t>，</w:t>
      </w:r>
      <w:r>
        <w:rPr>
          <w:rFonts w:hint="eastAsia" w:ascii="仿宋_GB2312"/>
          <w:szCs w:val="32"/>
        </w:rPr>
        <w:t>乡直有关单位：</w:t>
      </w:r>
    </w:p>
    <w:p>
      <w:pPr>
        <w:pStyle w:val="2"/>
        <w:keepNext w:val="0"/>
        <w:keepLines w:val="0"/>
        <w:pageBreakBefore w:val="0"/>
        <w:widowControl w:val="0"/>
        <w:kinsoku/>
        <w:wordWrap/>
        <w:overflowPunct/>
        <w:topLinePunct w:val="0"/>
        <w:bidi w:val="0"/>
        <w:spacing w:after="0" w:line="560" w:lineRule="exact"/>
        <w:ind w:left="0" w:leftChars="0" w:firstLine="640" w:firstLineChars="200"/>
        <w:textAlignment w:val="auto"/>
        <w:rPr>
          <w:rFonts w:hint="eastAsia"/>
        </w:rPr>
      </w:pPr>
      <w:r>
        <w:rPr>
          <w:rFonts w:hint="eastAsia"/>
          <w:szCs w:val="32"/>
        </w:rPr>
        <w:t>当前，随着天气转暖，加之清明、“五一”假期临近，春耕生产、踏青旅游、扫墓祭祀等活动增多，农事、祭祀、民俗、旅游等用火将显著剧增，进一步增加了林区火灾隐患。为深入贯彻学习习近平总书记关于防灾减灾救灾、森林草原防灭火、生态保护等重要论述重要指示批示精神，落实全国、全省和全市森林防灭火视频会议工作要求，不断提高全民森林防灭火意识，凝聚全社会之力共同做好森林防灭火工作，积极营造浓厚的森林防灭火氛围。</w:t>
      </w:r>
      <w:r>
        <w:rPr>
          <w:rFonts w:hint="eastAsia"/>
        </w:rPr>
        <w:t>根据《安溪县森林防灭火指挥部办公室关于开展春季森林防灭火宣传月活动的通知》（安森防灭办〔202</w:t>
      </w:r>
      <w:r>
        <w:t>4</w:t>
      </w:r>
      <w:r>
        <w:rPr>
          <w:rFonts w:hint="eastAsia"/>
        </w:rPr>
        <w:t xml:space="preserve">〕6号）精神，结合我乡实际，决定在全乡组织开展春季森林防火宣传月活动。现将有关事项通知如下： </w:t>
      </w:r>
    </w:p>
    <w:p>
      <w:pPr>
        <w:keepNext w:val="0"/>
        <w:keepLines w:val="0"/>
        <w:pageBreakBefore w:val="0"/>
        <w:widowControl w:val="0"/>
        <w:kinsoku/>
        <w:wordWrap/>
        <w:overflowPunct/>
        <w:topLinePunct w:val="0"/>
        <w:bidi w:val="0"/>
        <w:spacing w:line="560" w:lineRule="exact"/>
        <w:ind w:firstLine="640" w:firstLineChars="200"/>
        <w:textAlignment w:val="auto"/>
        <w:rPr>
          <w:rFonts w:eastAsia="黑体"/>
          <w:szCs w:val="32"/>
        </w:rPr>
      </w:pPr>
      <w:r>
        <w:rPr>
          <w:rFonts w:eastAsia="黑体"/>
          <w:szCs w:val="32"/>
        </w:rPr>
        <w:t>一、宣传主题</w:t>
      </w:r>
    </w:p>
    <w:p>
      <w:pPr>
        <w:keepNext w:val="0"/>
        <w:keepLines w:val="0"/>
        <w:pageBreakBefore w:val="0"/>
        <w:widowControl w:val="0"/>
        <w:kinsoku/>
        <w:wordWrap/>
        <w:overflowPunct/>
        <w:topLinePunct w:val="0"/>
        <w:bidi w:val="0"/>
        <w:snapToGrid w:val="0"/>
        <w:spacing w:line="560" w:lineRule="exact"/>
        <w:ind w:firstLine="640" w:firstLineChars="200"/>
        <w:textAlignment w:val="auto"/>
        <w:rPr>
          <w:szCs w:val="32"/>
        </w:rPr>
      </w:pPr>
      <w:r>
        <w:rPr>
          <w:szCs w:val="32"/>
        </w:rPr>
        <w:t>严防森林火灾</w:t>
      </w:r>
      <w:r>
        <w:rPr>
          <w:rFonts w:hint="eastAsia"/>
          <w:szCs w:val="32"/>
        </w:rPr>
        <w:t>，共建平安林区</w:t>
      </w:r>
      <w:r>
        <w:rPr>
          <w:szCs w:val="32"/>
        </w:rPr>
        <w:t>。</w:t>
      </w: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textAlignment w:val="auto"/>
        <w:rPr>
          <w:rFonts w:eastAsia="黑体"/>
          <w:szCs w:val="32"/>
        </w:rPr>
      </w:pPr>
      <w:r>
        <w:rPr>
          <w:rFonts w:eastAsia="黑体"/>
          <w:szCs w:val="32"/>
        </w:rPr>
        <w:t>二、活动时间</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hAnsi="仿宋_GB2312" w:cs="仿宋_GB2312"/>
          <w:color w:val="000000"/>
          <w:szCs w:val="32"/>
        </w:rPr>
      </w:pPr>
      <w:r>
        <w:rPr>
          <w:rFonts w:hint="eastAsia" w:ascii="仿宋_GB2312" w:hAnsi="仿宋_GB2312" w:cs="仿宋_GB2312"/>
          <w:color w:val="000000"/>
          <w:szCs w:val="32"/>
        </w:rPr>
        <w:t>202</w:t>
      </w:r>
      <w:r>
        <w:rPr>
          <w:rFonts w:ascii="仿宋_GB2312" w:hAnsi="仿宋_GB2312" w:cs="仿宋_GB2312"/>
          <w:color w:val="000000"/>
          <w:szCs w:val="32"/>
        </w:rPr>
        <w:t>4</w:t>
      </w:r>
      <w:r>
        <w:rPr>
          <w:rFonts w:hint="eastAsia" w:ascii="仿宋_GB2312" w:hAnsi="仿宋_GB2312" w:cs="仿宋_GB2312"/>
          <w:color w:val="000000"/>
          <w:szCs w:val="32"/>
        </w:rPr>
        <w:t>年3月</w:t>
      </w:r>
      <w:r>
        <w:rPr>
          <w:rFonts w:ascii="仿宋_GB2312" w:hAnsi="仿宋_GB2312" w:cs="仿宋_GB2312"/>
          <w:color w:val="000000"/>
          <w:szCs w:val="32"/>
        </w:rPr>
        <w:t>15</w:t>
      </w:r>
      <w:r>
        <w:rPr>
          <w:rFonts w:hint="eastAsia" w:ascii="仿宋_GB2312" w:hAnsi="仿宋_GB2312" w:cs="仿宋_GB2312"/>
          <w:color w:val="000000"/>
          <w:szCs w:val="32"/>
        </w:rPr>
        <w:t>日至4月</w:t>
      </w:r>
      <w:r>
        <w:rPr>
          <w:rFonts w:ascii="仿宋_GB2312" w:hAnsi="仿宋_GB2312" w:cs="仿宋_GB2312"/>
          <w:color w:val="000000"/>
          <w:szCs w:val="32"/>
        </w:rPr>
        <w:t>15</w:t>
      </w:r>
      <w:r>
        <w:rPr>
          <w:rFonts w:hint="eastAsia" w:ascii="仿宋_GB2312" w:hAnsi="仿宋_GB2312" w:cs="仿宋_GB2312"/>
          <w:color w:val="000000"/>
          <w:szCs w:val="32"/>
        </w:rPr>
        <w:t>日。</w:t>
      </w:r>
    </w:p>
    <w:p>
      <w:pPr>
        <w:keepNext w:val="0"/>
        <w:keepLines w:val="0"/>
        <w:pageBreakBefore w:val="0"/>
        <w:widowControl w:val="0"/>
        <w:kinsoku/>
        <w:wordWrap/>
        <w:overflowPunct/>
        <w:topLinePunct w:val="0"/>
        <w:bidi w:val="0"/>
        <w:spacing w:line="560" w:lineRule="exact"/>
        <w:ind w:firstLine="640" w:firstLineChars="200"/>
        <w:textAlignment w:val="auto"/>
        <w:rPr>
          <w:rFonts w:ascii="仿宋_GB2312" w:hAnsi="仿宋_GB2312" w:cs="仿宋_GB2312"/>
          <w:color w:val="000000"/>
          <w:szCs w:val="32"/>
        </w:rPr>
      </w:pPr>
      <w:r>
        <w:rPr>
          <w:rFonts w:eastAsia="黑体"/>
          <w:szCs w:val="32"/>
        </w:rPr>
        <w:t>三、宣传重点</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150"/>
        <w:textAlignment w:val="auto"/>
        <w:rPr>
          <w:szCs w:val="32"/>
        </w:rPr>
      </w:pPr>
      <w:r>
        <w:rPr>
          <w:szCs w:val="32"/>
        </w:rPr>
        <w:t>（一）深入宣贯习近平总书记关于防灾减灾救灾、生态保护等重要论述和关于森林草原防灭火重要指示精神。</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150"/>
        <w:textAlignment w:val="auto"/>
        <w:rPr>
          <w:szCs w:val="32"/>
        </w:rPr>
      </w:pPr>
      <w:r>
        <w:rPr>
          <w:szCs w:val="32"/>
        </w:rPr>
        <w:t>（二）深入宣传《中华人民共和国森林法》《森林防火条例》《福建省森林防火条例》等法律法规和《关于全面加强新形势下森林草原防灭火工作的意见》文件精神，提高全社会森林防灭火法律意识，切实做到知法、懂法、守法。</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150"/>
        <w:textAlignment w:val="auto"/>
        <w:rPr>
          <w:szCs w:val="32"/>
        </w:rPr>
      </w:pPr>
      <w:r>
        <w:rPr>
          <w:szCs w:val="32"/>
        </w:rPr>
        <w:t>（三）广泛宣传普及森林火灾特点和安全避险等常识，森林火灾预防和扑救等措施，切实提升社会公众森林防灭火意识和紧急避险能力。</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150"/>
        <w:textAlignment w:val="auto"/>
        <w:rPr>
          <w:szCs w:val="32"/>
        </w:rPr>
      </w:pPr>
      <w:r>
        <w:rPr>
          <w:szCs w:val="32"/>
        </w:rPr>
        <w:t>（四）广泛宣传野外火源管控和野外用火的有关规定，切实做到未经批准不用火，防范措施不到位不用火，从源头上遏制森林火灾发生。</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150"/>
        <w:textAlignment w:val="auto"/>
        <w:rPr>
          <w:szCs w:val="32"/>
        </w:rPr>
      </w:pPr>
      <w:r>
        <w:rPr>
          <w:szCs w:val="32"/>
        </w:rPr>
        <w:t>（五）宣传森林火灾的危害性、危险性，切实提高林区群众的防火意识和安全意识。</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150"/>
        <w:textAlignment w:val="auto"/>
        <w:rPr>
          <w:szCs w:val="32"/>
        </w:rPr>
      </w:pPr>
      <w:r>
        <w:rPr>
          <w:szCs w:val="32"/>
        </w:rPr>
        <w:t>（六）广泛宣传森林火灾典型案例和森林防灭火先进经验，大力宣传森林防灭火工作中涌现出的先进个人和事迹，营造学先进、学典型浓厚氛围。</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150"/>
        <w:textAlignment w:val="auto"/>
        <w:rPr>
          <w:rFonts w:hint="eastAsia" w:ascii="黑体" w:hAnsi="黑体" w:eastAsia="黑体" w:cs="黑体"/>
          <w:bCs/>
          <w:kern w:val="0"/>
          <w:szCs w:val="32"/>
        </w:rPr>
      </w:pPr>
    </w:p>
    <w:p>
      <w:pPr>
        <w:keepNext w:val="0"/>
        <w:keepLines w:val="0"/>
        <w:pageBreakBefore w:val="0"/>
        <w:widowControl w:val="0"/>
        <w:kinsoku/>
        <w:wordWrap/>
        <w:overflowPunct/>
        <w:topLinePunct w:val="0"/>
        <w:autoSpaceDE w:val="0"/>
        <w:autoSpaceDN w:val="0"/>
        <w:bidi w:val="0"/>
        <w:adjustRightInd w:val="0"/>
        <w:spacing w:line="560" w:lineRule="exact"/>
        <w:ind w:firstLine="640" w:firstLineChars="200"/>
        <w:textAlignment w:val="auto"/>
        <w:rPr>
          <w:rFonts w:hint="eastAsia" w:ascii="黑体" w:hAnsi="黑体" w:eastAsia="黑体" w:cs="黑体"/>
          <w:bCs/>
          <w:kern w:val="0"/>
          <w:szCs w:val="32"/>
        </w:rPr>
      </w:pPr>
      <w:r>
        <w:rPr>
          <w:rFonts w:hint="eastAsia" w:ascii="黑体" w:hAnsi="黑体" w:eastAsia="黑体" w:cs="黑体"/>
          <w:bCs/>
          <w:kern w:val="0"/>
          <w:szCs w:val="32"/>
        </w:rPr>
        <w:t>四</w:t>
      </w:r>
      <w:r>
        <w:rPr>
          <w:rFonts w:ascii="黑体" w:hAnsi="黑体" w:eastAsia="黑体" w:cs="黑体"/>
          <w:bCs/>
          <w:kern w:val="0"/>
          <w:szCs w:val="32"/>
        </w:rPr>
        <w:t>、</w:t>
      </w:r>
      <w:r>
        <w:rPr>
          <w:rFonts w:hint="eastAsia" w:ascii="黑体" w:hAnsi="黑体" w:eastAsia="黑体" w:cs="黑体"/>
          <w:bCs/>
          <w:kern w:val="0"/>
          <w:szCs w:val="32"/>
        </w:rPr>
        <w:t>主要任务</w:t>
      </w:r>
    </w:p>
    <w:p>
      <w:pPr>
        <w:keepNext w:val="0"/>
        <w:keepLines w:val="0"/>
        <w:pageBreakBefore w:val="0"/>
        <w:widowControl w:val="0"/>
        <w:kinsoku/>
        <w:wordWrap/>
        <w:overflowPunct/>
        <w:topLinePunct w:val="0"/>
        <w:bidi w:val="0"/>
        <w:snapToGrid w:val="0"/>
        <w:spacing w:line="560" w:lineRule="exact"/>
        <w:ind w:firstLine="640" w:firstLineChars="200"/>
        <w:textAlignment w:val="auto"/>
        <w:rPr>
          <w:szCs w:val="32"/>
        </w:rPr>
      </w:pPr>
      <w:r>
        <w:rPr>
          <w:rFonts w:hint="eastAsia"/>
          <w:szCs w:val="32"/>
        </w:rPr>
        <w:t>以森林防灭火宣传月活动为契机，以提升全民森林防灭火法治意识为目标，以落实森林防灭火责任、管控野外火源为宣传重点，全方位、大声势、高密度地开展森林防灭火宣传教育活动，努力营造“森林防火、人人有责”的浓厚社会氛围，确保防灭火宣传月活动取得显著成效。</w:t>
      </w:r>
    </w:p>
    <w:p>
      <w:pPr>
        <w:keepNext w:val="0"/>
        <w:keepLines w:val="0"/>
        <w:pageBreakBefore w:val="0"/>
        <w:widowControl w:val="0"/>
        <w:kinsoku/>
        <w:wordWrap/>
        <w:overflowPunct/>
        <w:topLinePunct w:val="0"/>
        <w:bidi w:val="0"/>
        <w:snapToGrid w:val="0"/>
        <w:spacing w:line="560" w:lineRule="exact"/>
        <w:ind w:firstLine="482" w:firstLineChars="150"/>
        <w:textAlignment w:val="auto"/>
        <w:rPr>
          <w:szCs w:val="32"/>
        </w:rPr>
      </w:pPr>
      <w:r>
        <w:rPr>
          <w:rFonts w:hint="eastAsia" w:ascii="楷体_GB2312" w:hAnsi="楷体_GB2312" w:eastAsia="楷体_GB2312" w:cs="楷体_GB2312"/>
          <w:b/>
          <w:bCs/>
          <w:szCs w:val="32"/>
        </w:rPr>
        <w:t>（一）拓宽渠道，扩大宣传覆盖面。</w:t>
      </w:r>
      <w:r>
        <w:rPr>
          <w:szCs w:val="32"/>
        </w:rPr>
        <w:t>坚持传统有效的宣传形式和现代宣传手段相结合，以群众喜闻乐见的方式，深入开展灵活多样的宣传活动，切实做到森林防火家喻户晓、人人皆知。</w:t>
      </w:r>
      <w:r>
        <w:rPr>
          <w:b/>
          <w:bCs/>
          <w:szCs w:val="32"/>
        </w:rPr>
        <w:t>一</w:t>
      </w:r>
      <w:r>
        <w:rPr>
          <w:rFonts w:hint="eastAsia"/>
          <w:b/>
          <w:bCs/>
          <w:szCs w:val="32"/>
        </w:rPr>
        <w:t>是</w:t>
      </w:r>
      <w:r>
        <w:rPr>
          <w:b/>
          <w:bCs/>
          <w:szCs w:val="32"/>
        </w:rPr>
        <w:t>充分发挥传统宣传形式的优势</w:t>
      </w:r>
      <w:r>
        <w:rPr>
          <w:szCs w:val="32"/>
        </w:rPr>
        <w:t>，</w:t>
      </w:r>
      <w:r>
        <w:rPr>
          <w:rFonts w:hint="eastAsia"/>
          <w:szCs w:val="32"/>
        </w:rPr>
        <w:t>通过村村响广播、护林员摘载喇叭喊话、墟日宣传车流动宣传、制作宣传碑牌、悬挂宣传横幅、张贴标语、派发传单和发送森林防火提醒短信等形式，把森林防火常识宣传到户到人。</w:t>
      </w:r>
      <w:r>
        <w:rPr>
          <w:b/>
          <w:bCs/>
          <w:szCs w:val="32"/>
        </w:rPr>
        <w:t>二</w:t>
      </w:r>
      <w:r>
        <w:rPr>
          <w:rFonts w:hint="eastAsia"/>
          <w:b/>
          <w:bCs/>
          <w:szCs w:val="32"/>
        </w:rPr>
        <w:t>是</w:t>
      </w:r>
      <w:r>
        <w:rPr>
          <w:b/>
          <w:bCs/>
          <w:szCs w:val="32"/>
        </w:rPr>
        <w:t>充分利用现代媒体的主渠道作用，</w:t>
      </w:r>
      <w:r>
        <w:rPr>
          <w:rFonts w:hint="eastAsia"/>
          <w:szCs w:val="32"/>
        </w:rPr>
        <w:t>通过网络、微信等宣传平台，利用抖音、朋友圈、快手、小红书等新媒体宣传手段，制作生动活泼、通俗易懂的森林防火小视频，把森林防灭火的法律法规、方针政策以及林区安全用火常识宣传到千家万户。</w:t>
      </w:r>
      <w:r>
        <w:rPr>
          <w:b/>
          <w:bCs/>
          <w:szCs w:val="32"/>
        </w:rPr>
        <w:t>三</w:t>
      </w:r>
      <w:r>
        <w:rPr>
          <w:rFonts w:hint="eastAsia"/>
          <w:b/>
          <w:bCs/>
          <w:szCs w:val="32"/>
        </w:rPr>
        <w:t>是发挥新科技手段融合功能。</w:t>
      </w:r>
      <w:r>
        <w:rPr>
          <w:szCs w:val="32"/>
        </w:rPr>
        <w:t>在主要进山路口和重要地段设置森林防火智能视频语音播报器，智能识别并提醒进山人员注意森林防火，利用无人机的机动性能，扩大森林防火宣传巡护范围，覆盖宣传盲区，提高宣传效率。</w:t>
      </w:r>
    </w:p>
    <w:p>
      <w:pPr>
        <w:keepNext w:val="0"/>
        <w:keepLines w:val="0"/>
        <w:pageBreakBefore w:val="0"/>
        <w:widowControl w:val="0"/>
        <w:kinsoku/>
        <w:wordWrap/>
        <w:overflowPunct/>
        <w:topLinePunct w:val="0"/>
        <w:bidi w:val="0"/>
        <w:snapToGrid w:val="0"/>
        <w:spacing w:line="560" w:lineRule="exact"/>
        <w:ind w:firstLine="482" w:firstLineChars="150"/>
        <w:textAlignment w:val="auto"/>
        <w:rPr>
          <w:szCs w:val="32"/>
        </w:rPr>
      </w:pPr>
      <w:r>
        <w:rPr>
          <w:rFonts w:hint="eastAsia" w:ascii="楷体_GB2312" w:hAnsi="楷体_GB2312" w:eastAsia="楷体_GB2312" w:cs="楷体_GB2312"/>
          <w:b/>
          <w:bCs/>
          <w:szCs w:val="32"/>
        </w:rPr>
        <w:t>（二）突出重点，增强宣传针对性。</w:t>
      </w:r>
      <w:r>
        <w:rPr>
          <w:b/>
          <w:bCs/>
          <w:szCs w:val="32"/>
        </w:rPr>
        <w:t>一</w:t>
      </w:r>
      <w:r>
        <w:rPr>
          <w:rFonts w:hint="eastAsia"/>
          <w:b/>
          <w:bCs/>
          <w:szCs w:val="32"/>
        </w:rPr>
        <w:t>是</w:t>
      </w:r>
      <w:r>
        <w:rPr>
          <w:b/>
          <w:bCs/>
          <w:szCs w:val="32"/>
        </w:rPr>
        <w:t>突出重点区域的宣传</w:t>
      </w:r>
      <w:r>
        <w:rPr>
          <w:rFonts w:hint="eastAsia"/>
          <w:b/>
          <w:bCs/>
          <w:szCs w:val="32"/>
        </w:rPr>
        <w:t>，</w:t>
      </w:r>
      <w:r>
        <w:rPr>
          <w:rFonts w:hint="eastAsia"/>
          <w:szCs w:val="32"/>
        </w:rPr>
        <w:t>在</w:t>
      </w:r>
      <w:r>
        <w:rPr>
          <w:szCs w:val="32"/>
        </w:rPr>
        <w:t>林区进山路口、公路沿线以及农林交错区、坟墓集中区</w:t>
      </w:r>
      <w:r>
        <w:rPr>
          <w:rFonts w:hint="eastAsia"/>
          <w:szCs w:val="32"/>
        </w:rPr>
        <w:t>、林区居民片、寺庙祠堂等火源密集区域的森林防火宣传力度，确</w:t>
      </w:r>
      <w:bookmarkStart w:id="0" w:name="_GoBack"/>
      <w:bookmarkEnd w:id="0"/>
      <w:r>
        <w:rPr>
          <w:rFonts w:hint="eastAsia"/>
          <w:szCs w:val="32"/>
        </w:rPr>
        <w:t>保警钟长鸣。</w:t>
      </w:r>
      <w:r>
        <w:rPr>
          <w:b/>
          <w:bCs/>
          <w:szCs w:val="32"/>
        </w:rPr>
        <w:t>二</w:t>
      </w:r>
      <w:r>
        <w:rPr>
          <w:rFonts w:hint="eastAsia"/>
          <w:b/>
          <w:bCs/>
          <w:szCs w:val="32"/>
        </w:rPr>
        <w:t>是</w:t>
      </w:r>
      <w:r>
        <w:rPr>
          <w:b/>
          <w:bCs/>
          <w:szCs w:val="32"/>
        </w:rPr>
        <w:t>突出重点时段的宣传</w:t>
      </w:r>
      <w:r>
        <w:rPr>
          <w:rFonts w:hint="eastAsia"/>
          <w:b/>
          <w:bCs/>
          <w:szCs w:val="32"/>
        </w:rPr>
        <w:t>，</w:t>
      </w:r>
      <w:r>
        <w:rPr>
          <w:rFonts w:hint="eastAsia"/>
          <w:szCs w:val="32"/>
        </w:rPr>
        <w:t>针对高森林火险时段，注重高森林火险预警信号和禁火令的宣传；针对清明节日用火习俗、管控难度大、森林火灾多发易发等特点规律，提前筹划部署宣传工作，教育引导广大群众移风易俗，文明祭扫、绿色祭扫，确保火种不上山、火源不入林；针对春季踏青、“五一”小长假等旅游旺季，做好文明旅游、严禁林区野炊烧烤等宣传引导。</w:t>
      </w:r>
      <w:r>
        <w:rPr>
          <w:b/>
          <w:bCs/>
          <w:szCs w:val="32"/>
        </w:rPr>
        <w:t>三</w:t>
      </w:r>
      <w:r>
        <w:rPr>
          <w:rFonts w:hint="eastAsia"/>
          <w:b/>
          <w:bCs/>
          <w:szCs w:val="32"/>
        </w:rPr>
        <w:t>是</w:t>
      </w:r>
      <w:r>
        <w:rPr>
          <w:b/>
          <w:bCs/>
          <w:szCs w:val="32"/>
        </w:rPr>
        <w:t>突出重点人群的宣传</w:t>
      </w:r>
      <w:r>
        <w:rPr>
          <w:rFonts w:hint="eastAsia"/>
          <w:b/>
          <w:bCs/>
          <w:szCs w:val="32"/>
        </w:rPr>
        <w:t>，</w:t>
      </w:r>
      <w:r>
        <w:rPr>
          <w:szCs w:val="32"/>
        </w:rPr>
        <w:t>要针对农村野外用火主体存在的</w:t>
      </w:r>
      <w:r>
        <w:rPr>
          <w:rFonts w:hint="eastAsia"/>
          <w:szCs w:val="32"/>
        </w:rPr>
        <w:t>“</w:t>
      </w:r>
      <w:r>
        <w:rPr>
          <w:szCs w:val="32"/>
        </w:rPr>
        <w:t>三不</w:t>
      </w:r>
      <w:r>
        <w:rPr>
          <w:rFonts w:hint="eastAsia"/>
          <w:szCs w:val="32"/>
        </w:rPr>
        <w:t>（</w:t>
      </w:r>
      <w:r>
        <w:rPr>
          <w:szCs w:val="32"/>
        </w:rPr>
        <w:t>不懂法、不识字、听不懂普通话</w:t>
      </w:r>
      <w:r>
        <w:rPr>
          <w:rFonts w:hint="eastAsia"/>
          <w:szCs w:val="32"/>
        </w:rPr>
        <w:t>）人员和“痴、呆、聋、哑、精神病患者”等特殊人群</w:t>
      </w:r>
      <w:r>
        <w:rPr>
          <w:szCs w:val="32"/>
        </w:rPr>
        <w:t>问题，积极发挥乡村护林防火协会、老人会以及乡村护林员的作用，通过喜闻乐见、通俗易懂的方式有针对性开展宣传，做到因人施策，讲求实效，切实解决宣传盲区。</w:t>
      </w:r>
    </w:p>
    <w:p>
      <w:pPr>
        <w:keepNext w:val="0"/>
        <w:keepLines w:val="0"/>
        <w:pageBreakBefore w:val="0"/>
        <w:widowControl w:val="0"/>
        <w:kinsoku/>
        <w:wordWrap/>
        <w:overflowPunct/>
        <w:topLinePunct w:val="0"/>
        <w:bidi w:val="0"/>
        <w:snapToGrid w:val="0"/>
        <w:spacing w:line="560" w:lineRule="exact"/>
        <w:ind w:firstLine="482" w:firstLineChars="150"/>
        <w:textAlignment w:val="auto"/>
        <w:rPr>
          <w:szCs w:val="32"/>
        </w:rPr>
      </w:pPr>
      <w:r>
        <w:rPr>
          <w:rFonts w:hint="eastAsia" w:ascii="楷体_GB2312" w:hAnsi="楷体_GB2312" w:eastAsia="楷体_GB2312" w:cs="楷体_GB2312"/>
          <w:b/>
          <w:bCs/>
          <w:szCs w:val="32"/>
        </w:rPr>
        <w:t>（三）加强协同，提高宣传影响力。</w:t>
      </w:r>
      <w:r>
        <w:rPr>
          <w:rFonts w:hint="eastAsia"/>
          <w:b/>
          <w:bCs/>
          <w:szCs w:val="32"/>
        </w:rPr>
        <w:t>一是加强协调配合。</w:t>
      </w:r>
      <w:r>
        <w:rPr>
          <w:rFonts w:hint="eastAsia"/>
          <w:szCs w:val="32"/>
        </w:rPr>
        <w:t>林业站、派出所</w:t>
      </w:r>
      <w:r>
        <w:rPr>
          <w:szCs w:val="32"/>
        </w:rPr>
        <w:t>、</w:t>
      </w:r>
      <w:r>
        <w:rPr>
          <w:rFonts w:hint="eastAsia"/>
          <w:szCs w:val="32"/>
        </w:rPr>
        <w:t>应急</w:t>
      </w:r>
      <w:r>
        <w:rPr>
          <w:szCs w:val="32"/>
        </w:rPr>
        <w:t>、农业农村、民政、文旅、</w:t>
      </w:r>
      <w:r>
        <w:rPr>
          <w:rFonts w:hint="eastAsia"/>
          <w:szCs w:val="32"/>
        </w:rPr>
        <w:t>中小学</w:t>
      </w:r>
      <w:r>
        <w:rPr>
          <w:szCs w:val="32"/>
        </w:rPr>
        <w:t>、电力等单位</w:t>
      </w:r>
      <w:r>
        <w:rPr>
          <w:rFonts w:hint="eastAsia"/>
          <w:szCs w:val="32"/>
        </w:rPr>
        <w:t>加强</w:t>
      </w:r>
      <w:r>
        <w:rPr>
          <w:szCs w:val="32"/>
        </w:rPr>
        <w:t>协调配合，动员一切可以动员的力量，共同推进森林防火宣传进社区、进企业、进农村、进校园、进家庭</w:t>
      </w:r>
      <w:r>
        <w:rPr>
          <w:rFonts w:hint="eastAsia"/>
          <w:szCs w:val="32"/>
        </w:rPr>
        <w:t>、进机关、进景区。</w:t>
      </w:r>
      <w:r>
        <w:rPr>
          <w:b/>
          <w:bCs/>
          <w:szCs w:val="32"/>
        </w:rPr>
        <w:t>二</w:t>
      </w:r>
      <w:r>
        <w:rPr>
          <w:rFonts w:hint="eastAsia"/>
          <w:b/>
          <w:bCs/>
          <w:szCs w:val="32"/>
        </w:rPr>
        <w:t>是</w:t>
      </w:r>
      <w:r>
        <w:rPr>
          <w:b/>
          <w:bCs/>
          <w:szCs w:val="32"/>
        </w:rPr>
        <w:t>加强案例警示。</w:t>
      </w:r>
      <w:r>
        <w:rPr>
          <w:rFonts w:hint="eastAsia"/>
          <w:szCs w:val="32"/>
        </w:rPr>
        <w:t>联合公安机关，</w:t>
      </w:r>
      <w:r>
        <w:rPr>
          <w:szCs w:val="32"/>
        </w:rPr>
        <w:t>曝光一批森林火灾反面典型案例，以案释法，达到查处一个、震慑一批、教育一片的效果，切实增强广大人民群众防范火灾意识，形成群防群治良好氛围。</w:t>
      </w:r>
      <w:r>
        <w:rPr>
          <w:b/>
          <w:bCs/>
          <w:szCs w:val="32"/>
        </w:rPr>
        <w:t>三</w:t>
      </w:r>
      <w:r>
        <w:rPr>
          <w:rFonts w:hint="eastAsia"/>
          <w:b/>
          <w:bCs/>
          <w:szCs w:val="32"/>
        </w:rPr>
        <w:t>是</w:t>
      </w:r>
      <w:r>
        <w:rPr>
          <w:b/>
          <w:bCs/>
          <w:szCs w:val="32"/>
        </w:rPr>
        <w:t>加强部门联动。</w:t>
      </w:r>
      <w:r>
        <w:rPr>
          <w:szCs w:val="32"/>
        </w:rPr>
        <w:t>加强</w:t>
      </w:r>
      <w:r>
        <w:rPr>
          <w:rFonts w:hint="eastAsia"/>
          <w:szCs w:val="32"/>
        </w:rPr>
        <w:t>公路</w:t>
      </w:r>
      <w:r>
        <w:rPr>
          <w:szCs w:val="32"/>
        </w:rPr>
        <w:t>、文旅、电力等有关单位的联合宣传，在主要交通要道、电力走廊等森林防火危险地段设置固定森林防火宣传牌、挂设森林防火标语横幅等，加大宣传力度。</w:t>
      </w:r>
    </w:p>
    <w:p>
      <w:pPr>
        <w:keepNext w:val="0"/>
        <w:keepLines w:val="0"/>
        <w:pageBreakBefore w:val="0"/>
        <w:widowControl w:val="0"/>
        <w:kinsoku/>
        <w:wordWrap/>
        <w:overflowPunct/>
        <w:topLinePunct w:val="0"/>
        <w:autoSpaceDE w:val="0"/>
        <w:autoSpaceDN w:val="0"/>
        <w:bidi w:val="0"/>
        <w:adjustRightInd w:val="0"/>
        <w:spacing w:line="560" w:lineRule="exact"/>
        <w:ind w:firstLine="480" w:firstLineChars="150"/>
        <w:textAlignment w:val="auto"/>
        <w:rPr>
          <w:rFonts w:hint="eastAsia" w:ascii="黑体" w:hAnsi="黑体" w:eastAsia="黑体" w:cs="黑体"/>
          <w:bCs/>
          <w:kern w:val="0"/>
          <w:szCs w:val="32"/>
        </w:rPr>
      </w:pPr>
      <w:r>
        <w:rPr>
          <w:rFonts w:hint="eastAsia" w:ascii="黑体" w:hAnsi="黑体" w:eastAsia="黑体" w:cs="黑体"/>
          <w:bCs/>
          <w:kern w:val="0"/>
          <w:szCs w:val="32"/>
        </w:rPr>
        <w:t>五、有关要求</w:t>
      </w:r>
    </w:p>
    <w:p>
      <w:pPr>
        <w:keepNext w:val="0"/>
        <w:keepLines w:val="0"/>
        <w:pageBreakBefore w:val="0"/>
        <w:widowControl w:val="0"/>
        <w:kinsoku/>
        <w:wordWrap/>
        <w:overflowPunct/>
        <w:topLinePunct w:val="0"/>
        <w:bidi w:val="0"/>
        <w:spacing w:line="560" w:lineRule="exact"/>
        <w:ind w:firstLine="482" w:firstLineChars="150"/>
        <w:textAlignment w:val="auto"/>
        <w:rPr>
          <w:rFonts w:ascii="楷体" w:hAnsi="楷体" w:eastAsia="楷体" w:cs="楷体"/>
          <w:szCs w:val="32"/>
        </w:rPr>
      </w:pPr>
      <w:r>
        <w:rPr>
          <w:rFonts w:hint="eastAsia" w:ascii="楷体_GB2312" w:hAnsi="楷体_GB2312" w:eastAsia="楷体_GB2312" w:cs="楷体_GB2312"/>
          <w:b/>
          <w:bCs/>
          <w:szCs w:val="32"/>
        </w:rPr>
        <w:t>（一）提高政治站位。</w:t>
      </w:r>
      <w:r>
        <w:rPr>
          <w:rFonts w:hint="eastAsia"/>
          <w:szCs w:val="32"/>
        </w:rPr>
        <w:t>各村、乡直有关单位</w:t>
      </w:r>
      <w:r>
        <w:rPr>
          <w:szCs w:val="32"/>
        </w:rPr>
        <w:t>要充分认识做好森林防灭火宣传工作的重要性、必要性，进一步提高政治站位，强化责任担当，切实从保障生态资源安全和人民群众生命财产安全，全面组织开展森林防灭火宣传工作。</w:t>
      </w:r>
    </w:p>
    <w:p>
      <w:pPr>
        <w:keepNext w:val="0"/>
        <w:keepLines w:val="0"/>
        <w:pageBreakBefore w:val="0"/>
        <w:widowControl w:val="0"/>
        <w:kinsoku/>
        <w:wordWrap/>
        <w:overflowPunct/>
        <w:topLinePunct w:val="0"/>
        <w:bidi w:val="0"/>
        <w:spacing w:line="560" w:lineRule="exact"/>
        <w:ind w:firstLine="482" w:firstLineChars="150"/>
        <w:textAlignment w:val="auto"/>
        <w:rPr>
          <w:szCs w:val="32"/>
        </w:rPr>
      </w:pPr>
      <w:r>
        <w:rPr>
          <w:rFonts w:hint="eastAsia" w:ascii="楷体_GB2312" w:hAnsi="楷体_GB2312" w:eastAsia="楷体_GB2312" w:cs="楷体_GB2312"/>
          <w:b/>
          <w:bCs/>
          <w:szCs w:val="32"/>
        </w:rPr>
        <w:t>（二）强化工作部署。</w:t>
      </w:r>
      <w:r>
        <w:rPr>
          <w:rFonts w:hint="eastAsia"/>
          <w:szCs w:val="32"/>
        </w:rPr>
        <w:t>各村、乡直有关单位</w:t>
      </w:r>
      <w:r>
        <w:rPr>
          <w:szCs w:val="32"/>
        </w:rPr>
        <w:t>要高度重视、严密筹划，切实增强做好森林防灭火宣传工作的责任感和使命感。要严格落实森林防灭火宣传责任，精细制定方案，细化宣传措施，明确宣传的重点、内容和组织的方式方法，合力推动工作落实。要主动担当，广泛发动，动员各方力量参与防灭火宣传，确保宣传活动实效。</w:t>
      </w:r>
    </w:p>
    <w:p>
      <w:pPr>
        <w:keepNext w:val="0"/>
        <w:keepLines w:val="0"/>
        <w:pageBreakBefore w:val="0"/>
        <w:widowControl w:val="0"/>
        <w:kinsoku/>
        <w:wordWrap/>
        <w:overflowPunct/>
        <w:topLinePunct w:val="0"/>
        <w:bidi w:val="0"/>
        <w:spacing w:line="560" w:lineRule="exact"/>
        <w:ind w:firstLine="482" w:firstLineChars="150"/>
        <w:textAlignment w:val="auto"/>
        <w:rPr>
          <w:rFonts w:ascii="仿宋_GB2312"/>
          <w:szCs w:val="32"/>
        </w:rPr>
      </w:pPr>
      <w:r>
        <w:rPr>
          <w:rFonts w:hint="eastAsia" w:ascii="楷体_GB2312" w:hAnsi="楷体_GB2312" w:eastAsia="楷体_GB2312" w:cs="楷体_GB2312"/>
          <w:b/>
          <w:bCs/>
          <w:szCs w:val="32"/>
        </w:rPr>
        <w:t>（三）及时总结反馈。</w:t>
      </w:r>
      <w:r>
        <w:rPr>
          <w:rFonts w:hint="eastAsia" w:ascii="仿宋_GB2312"/>
          <w:szCs w:val="32"/>
        </w:rPr>
        <w:t>活动结束后，各村要及时总结好的经验和做法，总结报告及相关材料请于</w:t>
      </w:r>
      <w:r>
        <w:rPr>
          <w:rFonts w:ascii="仿宋_GB2312"/>
          <w:szCs w:val="32"/>
        </w:rPr>
        <w:t>4</w:t>
      </w:r>
      <w:r>
        <w:rPr>
          <w:rFonts w:hint="eastAsia" w:ascii="仿宋_GB2312"/>
          <w:szCs w:val="32"/>
        </w:rPr>
        <w:t>月</w:t>
      </w:r>
      <w:r>
        <w:rPr>
          <w:rFonts w:ascii="仿宋_GB2312"/>
          <w:szCs w:val="32"/>
        </w:rPr>
        <w:t>15</w:t>
      </w:r>
      <w:r>
        <w:rPr>
          <w:rFonts w:hint="eastAsia" w:ascii="仿宋_GB2312"/>
          <w:szCs w:val="32"/>
        </w:rPr>
        <w:t>日前报乡政府。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rPr>
      </w:pPr>
      <w:r>
        <w:rPr>
          <w:rFonts w:hint="eastAsia" w:ascii="仿宋_GB2312"/>
        </w:rPr>
        <w:t>附件：2024年春季森林防灭火宣传月活动情况统计表</w:t>
      </w:r>
    </w:p>
    <w:p>
      <w:pPr>
        <w:pStyle w:val="2"/>
        <w:keepNext w:val="0"/>
        <w:keepLines w:val="0"/>
        <w:pageBreakBefore w:val="0"/>
        <w:widowControl w:val="0"/>
        <w:kinsoku/>
        <w:wordWrap/>
        <w:overflowPunct/>
        <w:topLinePunct w:val="0"/>
        <w:bidi w:val="0"/>
        <w:spacing w:line="560" w:lineRule="exact"/>
        <w:ind w:firstLine="640" w:firstLineChars="200"/>
        <w:textAlignment w:val="auto"/>
      </w:pP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eastAsia"/>
        </w:rPr>
      </w:pPr>
    </w:p>
    <w:p>
      <w:pPr>
        <w:keepNext w:val="0"/>
        <w:keepLines w:val="0"/>
        <w:pageBreakBefore w:val="0"/>
        <w:widowControl w:val="0"/>
        <w:kinsoku/>
        <w:wordWrap/>
        <w:overflowPunct/>
        <w:topLinePunct w:val="0"/>
        <w:bidi w:val="0"/>
        <w:spacing w:line="560" w:lineRule="exact"/>
        <w:ind w:firstLine="640" w:firstLineChars="200"/>
        <w:jc w:val="center"/>
        <w:textAlignment w:val="auto"/>
        <w:rPr>
          <w:rFonts w:hint="eastAsia" w:ascii="仿宋_GB2312"/>
          <w:szCs w:val="32"/>
        </w:rPr>
      </w:pPr>
      <w:r>
        <w:rPr>
          <w:rFonts w:hint="eastAsia" w:ascii="仿宋_GB2312"/>
          <w:szCs w:val="32"/>
        </w:rPr>
        <w:t xml:space="preserve">                       </w:t>
      </w:r>
    </w:p>
    <w:p>
      <w:pPr>
        <w:keepNext w:val="0"/>
        <w:keepLines w:val="0"/>
        <w:pageBreakBefore w:val="0"/>
        <w:widowControl w:val="0"/>
        <w:kinsoku/>
        <w:wordWrap/>
        <w:overflowPunct/>
        <w:topLinePunct w:val="0"/>
        <w:bidi w:val="0"/>
        <w:spacing w:line="560" w:lineRule="exact"/>
        <w:ind w:firstLine="640" w:firstLineChars="200"/>
        <w:jc w:val="center"/>
        <w:textAlignment w:val="auto"/>
        <w:rPr>
          <w:rFonts w:ascii="仿宋_GB2312"/>
          <w:szCs w:val="32"/>
        </w:rPr>
      </w:pPr>
      <w:r>
        <w:rPr>
          <w:rFonts w:hint="eastAsia" w:ascii="仿宋_GB2312"/>
          <w:szCs w:val="32"/>
          <w:lang w:val="en-US" w:eastAsia="zh-CN"/>
        </w:rPr>
        <w:t xml:space="preserve">                    </w:t>
      </w:r>
      <w:r>
        <w:rPr>
          <w:rFonts w:hint="eastAsia" w:ascii="仿宋_GB2312"/>
          <w:szCs w:val="32"/>
        </w:rPr>
        <w:t>安溪县蓝田乡人民政府</w:t>
      </w:r>
    </w:p>
    <w:p>
      <w:pPr>
        <w:keepNext w:val="0"/>
        <w:keepLines w:val="0"/>
        <w:pageBreakBefore w:val="0"/>
        <w:widowControl w:val="0"/>
        <w:kinsoku/>
        <w:wordWrap/>
        <w:overflowPunct/>
        <w:topLinePunct w:val="0"/>
        <w:bidi w:val="0"/>
        <w:spacing w:line="560" w:lineRule="exact"/>
        <w:ind w:firstLine="5120" w:firstLineChars="1600"/>
        <w:textAlignment w:val="auto"/>
      </w:pPr>
      <w:r>
        <w:rPr>
          <w:rFonts w:hint="eastAsia" w:ascii="仿宋_GB2312"/>
          <w:szCs w:val="32"/>
        </w:rPr>
        <w:t>202</w:t>
      </w:r>
      <w:r>
        <w:rPr>
          <w:rFonts w:ascii="仿宋_GB2312"/>
          <w:szCs w:val="32"/>
        </w:rPr>
        <w:t>4</w:t>
      </w:r>
      <w:r>
        <w:rPr>
          <w:rFonts w:hint="eastAsia" w:ascii="仿宋_GB2312"/>
          <w:szCs w:val="32"/>
        </w:rPr>
        <w:t>年3月</w:t>
      </w:r>
      <w:r>
        <w:rPr>
          <w:rFonts w:hint="eastAsia" w:ascii="仿宋_GB2312"/>
          <w:szCs w:val="32"/>
          <w:lang w:val="en-US" w:eastAsia="zh-CN"/>
        </w:rPr>
        <w:t>21</w:t>
      </w:r>
      <w:r>
        <w:rPr>
          <w:rFonts w:hint="eastAsia" w:ascii="仿宋_GB2312"/>
          <w:szCs w:val="32"/>
        </w:rPr>
        <w:t>日</w:t>
      </w:r>
    </w:p>
    <w:p>
      <w:pPr>
        <w:pStyle w:val="2"/>
        <w:keepNext w:val="0"/>
        <w:keepLines w:val="0"/>
        <w:pageBreakBefore w:val="0"/>
        <w:widowControl w:val="0"/>
        <w:kinsoku/>
        <w:wordWrap/>
        <w:overflowPunct/>
        <w:topLinePunct w:val="0"/>
        <w:bidi w:val="0"/>
        <w:spacing w:line="560" w:lineRule="exact"/>
        <w:ind w:firstLine="640" w:firstLineChars="200"/>
        <w:textAlignment w:val="auto"/>
        <w:rPr>
          <w:rFonts w:hint="eastAsia"/>
        </w:rPr>
        <w:sectPr>
          <w:headerReference r:id="rId3" w:type="default"/>
          <w:footerReference r:id="rId4" w:type="default"/>
          <w:footerReference r:id="rId5" w:type="even"/>
          <w:pgSz w:w="11906" w:h="16838"/>
          <w:pgMar w:top="1417" w:right="1474" w:bottom="1417" w:left="1587" w:header="851" w:footer="1559" w:gutter="0"/>
          <w:cols w:space="720" w:num="1"/>
          <w:docGrid w:type="lines" w:linePitch="312" w:charSpace="0"/>
        </w:sectPr>
      </w:pPr>
    </w:p>
    <w:p>
      <w:pPr>
        <w:pStyle w:val="2"/>
        <w:ind w:firstLine="0" w:firstLineChars="0"/>
        <w:rPr>
          <w:rFonts w:hint="eastAsia" w:ascii="黑体" w:hAnsi="黑体" w:eastAsia="黑体" w:cs="黑体"/>
          <w:szCs w:val="32"/>
        </w:rPr>
      </w:pPr>
      <w:r>
        <w:rPr>
          <w:rFonts w:hint="eastAsia" w:ascii="黑体" w:hAnsi="黑体" w:eastAsia="黑体" w:cs="黑体"/>
          <w:szCs w:val="32"/>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2024年春季森林防灭火宣传月活动情况统计表</w:t>
      </w:r>
    </w:p>
    <w:tbl>
      <w:tblPr>
        <w:tblStyle w:val="7"/>
        <w:tblW w:w="15939" w:type="dxa"/>
        <w:jc w:val="center"/>
        <w:tblInd w:w="0" w:type="dxa"/>
        <w:tblLayout w:type="fixed"/>
        <w:tblCellMar>
          <w:top w:w="0" w:type="dxa"/>
          <w:left w:w="108" w:type="dxa"/>
          <w:bottom w:w="0" w:type="dxa"/>
          <w:right w:w="108" w:type="dxa"/>
        </w:tblCellMar>
      </w:tblPr>
      <w:tblGrid>
        <w:gridCol w:w="494"/>
        <w:gridCol w:w="1050"/>
        <w:gridCol w:w="945"/>
        <w:gridCol w:w="1020"/>
        <w:gridCol w:w="881"/>
        <w:gridCol w:w="938"/>
        <w:gridCol w:w="1000"/>
        <w:gridCol w:w="1000"/>
        <w:gridCol w:w="967"/>
        <w:gridCol w:w="966"/>
        <w:gridCol w:w="907"/>
        <w:gridCol w:w="1015"/>
        <w:gridCol w:w="969"/>
        <w:gridCol w:w="922"/>
        <w:gridCol w:w="1115"/>
        <w:gridCol w:w="855"/>
        <w:gridCol w:w="895"/>
      </w:tblGrid>
      <w:tr>
        <w:tblPrEx>
          <w:tblLayout w:type="fixed"/>
          <w:tblCellMar>
            <w:top w:w="0" w:type="dxa"/>
            <w:left w:w="108" w:type="dxa"/>
            <w:bottom w:w="0" w:type="dxa"/>
            <w:right w:w="108" w:type="dxa"/>
          </w:tblCellMar>
        </w:tblPrEx>
        <w:trPr>
          <w:trHeight w:val="1400"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单位</w:t>
            </w: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召开各类会议部署工作（场）</w:t>
            </w: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发布各类文电（次）</w:t>
            </w: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kern w:val="0"/>
                <w:sz w:val="24"/>
                <w:szCs w:val="24"/>
                <w:lang w:bidi="ar"/>
              </w:rPr>
            </w:pPr>
            <w:r>
              <w:rPr>
                <w:rFonts w:hint="eastAsia" w:ascii="仿宋_GB2312" w:hAnsi="仿宋_GB2312" w:cs="仿宋_GB2312"/>
                <w:color w:val="000000"/>
                <w:kern w:val="0"/>
                <w:sz w:val="24"/>
                <w:szCs w:val="24"/>
                <w:lang w:bidi="ar"/>
              </w:rPr>
              <w:t>出动   宣传车</w:t>
            </w:r>
          </w:p>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（车次）</w:t>
            </w: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新设固定宣传牌（块）</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群发警示短信（条）</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分发有关宣传材料（份）</w:t>
            </w: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重要时段设置检查  关卡（个）</w:t>
            </w: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开展森林防火宣传入校园</w:t>
            </w:r>
            <w:r>
              <w:rPr>
                <w:rFonts w:hint="eastAsia" w:ascii="仿宋_GB2312" w:hAnsi="仿宋_GB2312" w:cs="仿宋_GB2312"/>
                <w:color w:val="000000"/>
                <w:kern w:val="0"/>
                <w:sz w:val="24"/>
                <w:szCs w:val="24"/>
                <w:lang w:bidi="ar"/>
              </w:rPr>
              <w:br w:type="textWrapping"/>
            </w:r>
            <w:r>
              <w:rPr>
                <w:rFonts w:hint="eastAsia" w:ascii="仿宋_GB2312" w:hAnsi="仿宋_GB2312" w:cs="仿宋_GB2312"/>
                <w:color w:val="000000"/>
                <w:kern w:val="0"/>
                <w:sz w:val="24"/>
                <w:szCs w:val="24"/>
                <w:lang w:bidi="ar"/>
              </w:rPr>
              <w:t>（次）</w:t>
            </w: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开展警示教育（场）</w:t>
            </w: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排查火灾隐患（处）</w:t>
            </w: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计划烧除面积（亩）</w:t>
            </w: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查处</w:t>
            </w:r>
            <w:r>
              <w:rPr>
                <w:rStyle w:val="10"/>
                <w:rFonts w:hint="eastAsia" w:ascii="仿宋_GB2312" w:hAnsi="仿宋_GB2312" w:cs="仿宋_GB2312"/>
                <w:sz w:val="24"/>
                <w:szCs w:val="24"/>
                <w:lang w:bidi="ar"/>
              </w:rPr>
              <w:t xml:space="preserve"> </w:t>
            </w:r>
            <w:r>
              <w:rPr>
                <w:rStyle w:val="11"/>
                <w:rFonts w:hAnsi="仿宋_GB2312"/>
                <w:sz w:val="24"/>
                <w:szCs w:val="24"/>
                <w:lang w:bidi="ar"/>
              </w:rPr>
              <w:t>违章用火（起）</w:t>
            </w: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违规野外用火罚款（元）</w:t>
            </w: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违规野外用火拘留（人）</w:t>
            </w: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组织业务培训（期）</w:t>
            </w: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textAlignment w:val="center"/>
              <w:rPr>
                <w:rFonts w:hint="eastAsia" w:ascii="仿宋_GB2312" w:hAnsi="仿宋_GB2312" w:cs="仿宋_GB2312"/>
                <w:color w:val="000000"/>
                <w:sz w:val="24"/>
                <w:szCs w:val="24"/>
              </w:rPr>
            </w:pPr>
            <w:r>
              <w:rPr>
                <w:rFonts w:hint="eastAsia" w:ascii="仿宋_GB2312" w:hAnsi="仿宋_GB2312" w:cs="仿宋_GB2312"/>
                <w:color w:val="000000"/>
                <w:kern w:val="0"/>
                <w:sz w:val="24"/>
                <w:szCs w:val="24"/>
                <w:lang w:bidi="ar"/>
              </w:rPr>
              <w:t>培训人员（人次）</w:t>
            </w:r>
          </w:p>
        </w:tc>
      </w:tr>
      <w:tr>
        <w:tblPrEx>
          <w:tblLayout w:type="fixed"/>
          <w:tblCellMar>
            <w:top w:w="0" w:type="dxa"/>
            <w:left w:w="108" w:type="dxa"/>
            <w:bottom w:w="0" w:type="dxa"/>
            <w:right w:w="108" w:type="dxa"/>
          </w:tblCellMar>
        </w:tblPrEx>
        <w:trPr>
          <w:trHeight w:val="390"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15" w:type="dxa"/>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r>
      <w:tr>
        <w:tblPrEx>
          <w:tblLayout w:type="fixed"/>
          <w:tblCellMar>
            <w:top w:w="0" w:type="dxa"/>
            <w:left w:w="108" w:type="dxa"/>
            <w:bottom w:w="0" w:type="dxa"/>
            <w:right w:w="108" w:type="dxa"/>
          </w:tblCellMar>
        </w:tblPrEx>
        <w:trPr>
          <w:trHeight w:val="375"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left"/>
              <w:rPr>
                <w:rFonts w:hint="eastAsia" w:ascii="仿宋_GB2312" w:hAnsi="仿宋_GB2312" w:cs="仿宋_GB2312"/>
                <w:color w:val="000000"/>
                <w:sz w:val="28"/>
                <w:szCs w:val="28"/>
              </w:rPr>
            </w:pP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r>
      <w:tr>
        <w:tblPrEx>
          <w:tblLayout w:type="fixed"/>
          <w:tblCellMar>
            <w:top w:w="0" w:type="dxa"/>
            <w:left w:w="108" w:type="dxa"/>
            <w:bottom w:w="0" w:type="dxa"/>
            <w:right w:w="108" w:type="dxa"/>
          </w:tblCellMar>
        </w:tblPrEx>
        <w:trPr>
          <w:trHeight w:val="360"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r>
      <w:tr>
        <w:tblPrEx>
          <w:tblLayout w:type="fixed"/>
          <w:tblCellMar>
            <w:top w:w="0" w:type="dxa"/>
            <w:left w:w="108" w:type="dxa"/>
            <w:bottom w:w="0" w:type="dxa"/>
            <w:right w:w="108" w:type="dxa"/>
          </w:tblCellMar>
        </w:tblPrEx>
        <w:trPr>
          <w:trHeight w:val="360"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15" w:type="dxa"/>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r>
      <w:tr>
        <w:tblPrEx>
          <w:tblLayout w:type="fixed"/>
          <w:tblCellMar>
            <w:top w:w="0" w:type="dxa"/>
            <w:left w:w="108" w:type="dxa"/>
            <w:bottom w:w="0" w:type="dxa"/>
            <w:right w:w="108" w:type="dxa"/>
          </w:tblCellMar>
        </w:tblPrEx>
        <w:trPr>
          <w:trHeight w:val="360"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r>
      <w:tr>
        <w:tblPrEx>
          <w:tblLayout w:type="fixed"/>
          <w:tblCellMar>
            <w:top w:w="0" w:type="dxa"/>
            <w:left w:w="108" w:type="dxa"/>
            <w:bottom w:w="0" w:type="dxa"/>
            <w:right w:w="108" w:type="dxa"/>
          </w:tblCellMar>
        </w:tblPrEx>
        <w:trPr>
          <w:trHeight w:val="360"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15" w:type="dxa"/>
            <w:tcBorders>
              <w:top w:val="nil"/>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r>
      <w:tr>
        <w:tblPrEx>
          <w:tblLayout w:type="fixed"/>
          <w:tblCellMar>
            <w:top w:w="0" w:type="dxa"/>
            <w:left w:w="108" w:type="dxa"/>
            <w:bottom w:w="0" w:type="dxa"/>
            <w:right w:w="108" w:type="dxa"/>
          </w:tblCellMar>
        </w:tblPrEx>
        <w:trPr>
          <w:trHeight w:val="360"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r>
      <w:tr>
        <w:tblPrEx>
          <w:tblLayout w:type="fixed"/>
          <w:tblCellMar>
            <w:top w:w="0" w:type="dxa"/>
            <w:left w:w="108" w:type="dxa"/>
            <w:bottom w:w="0" w:type="dxa"/>
            <w:right w:w="108" w:type="dxa"/>
          </w:tblCellMar>
        </w:tblPrEx>
        <w:trPr>
          <w:trHeight w:val="360" w:hRule="atLeast"/>
          <w:jc w:val="center"/>
        </w:trPr>
        <w:tc>
          <w:tcPr>
            <w:tcW w:w="49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4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8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0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0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6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92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111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c>
          <w:tcPr>
            <w:tcW w:w="89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hint="eastAsia" w:ascii="仿宋_GB2312" w:hAnsi="仿宋_GB2312" w:cs="仿宋_GB2312"/>
                <w:color w:val="000000"/>
                <w:sz w:val="28"/>
                <w:szCs w:val="28"/>
              </w:rPr>
            </w:pPr>
          </w:p>
        </w:tc>
      </w:tr>
    </w:tbl>
    <w:p>
      <w:pPr>
        <w:pStyle w:val="2"/>
      </w:pPr>
    </w:p>
    <w:sectPr>
      <w:pgSz w:w="16838" w:h="11906" w:orient="landscape"/>
      <w:pgMar w:top="1417" w:right="1440"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sz w:val="28"/>
        <w:szCs w:val="28"/>
      </w:rPr>
    </w:pPr>
    <w:r>
      <w:rPr>
        <w:rStyle w:val="9"/>
        <w:rFonts w:hint="eastAsia"/>
        <w:sz w:val="28"/>
        <w:szCs w:val="28"/>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3</w:t>
    </w:r>
    <w:r>
      <w:rPr>
        <w:sz w:val="28"/>
        <w:szCs w:val="28"/>
      </w:rPr>
      <w:fldChar w:fldCharType="end"/>
    </w:r>
    <w:r>
      <w:rPr>
        <w:rStyle w:val="9"/>
        <w:rFonts w:hint="eastAsia"/>
        <w:sz w:val="28"/>
        <w:szCs w:val="28"/>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Fonts w:hint="eastAsia"/>
        <w:sz w:val="28"/>
        <w:szCs w:val="28"/>
      </w:rPr>
    </w:pPr>
    <w:r>
      <w:rPr>
        <w:rStyle w:val="9"/>
        <w:rFonts w:hint="eastAsia"/>
        <w:sz w:val="28"/>
        <w:szCs w:val="28"/>
      </w:rPr>
      <w:t>—</w:t>
    </w:r>
    <w:r>
      <w:rPr>
        <w:sz w:val="28"/>
        <w:szCs w:val="28"/>
      </w:rPr>
      <w:fldChar w:fldCharType="begin"/>
    </w:r>
    <w:r>
      <w:rPr>
        <w:rStyle w:val="9"/>
        <w:sz w:val="28"/>
        <w:szCs w:val="28"/>
      </w:rPr>
      <w:instrText xml:space="preserve">PAGE  </w:instrText>
    </w:r>
    <w:r>
      <w:rPr>
        <w:sz w:val="28"/>
        <w:szCs w:val="28"/>
      </w:rPr>
      <w:fldChar w:fldCharType="separate"/>
    </w:r>
    <w:r>
      <w:rPr>
        <w:rStyle w:val="9"/>
        <w:sz w:val="28"/>
        <w:szCs w:val="28"/>
      </w:rPr>
      <w:t>2</w:t>
    </w:r>
    <w:r>
      <w:rPr>
        <w:sz w:val="28"/>
        <w:szCs w:val="28"/>
      </w:rPr>
      <w:fldChar w:fldCharType="end"/>
    </w:r>
    <w:r>
      <w:rPr>
        <w:rStyle w:val="9"/>
        <w:rFonts w:hint="eastAsia"/>
        <w:sz w:val="28"/>
        <w:szCs w:val="28"/>
      </w:rPr>
      <w:t>—</w:t>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1A6264"/>
    <w:rsid w:val="06BF21EB"/>
    <w:rsid w:val="0D1A6264"/>
    <w:rsid w:val="0E21057E"/>
    <w:rsid w:val="0F7D4AEF"/>
    <w:rsid w:val="141225E2"/>
    <w:rsid w:val="14BE6137"/>
    <w:rsid w:val="29454C83"/>
    <w:rsid w:val="2ACC680E"/>
    <w:rsid w:val="3394666D"/>
    <w:rsid w:val="4D3B2396"/>
    <w:rsid w:val="55E37894"/>
    <w:rsid w:val="63D564CA"/>
    <w:rsid w:val="67801A64"/>
    <w:rsid w:val="6A1B6898"/>
    <w:rsid w:val="6FD42522"/>
    <w:rsid w:val="79D737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uiPriority w:val="0"/>
    <w:pPr>
      <w:spacing w:after="120"/>
      <w:ind w:left="420" w:leftChars="200"/>
    </w:pPr>
  </w:style>
  <w:style w:type="paragraph" w:styleId="4">
    <w:name w:val="Normal Indent"/>
    <w:basedOn w:val="1"/>
    <w:next w:val="1"/>
    <w:qFormat/>
    <w:uiPriority w:val="0"/>
    <w:pPr>
      <w:widowControl w:val="0"/>
      <w:spacing w:line="360" w:lineRule="auto"/>
      <w:ind w:firstLine="420" w:firstLineChars="200"/>
      <w:jc w:val="both"/>
    </w:pPr>
    <w:rPr>
      <w:rFonts w:ascii="Times New Roman" w:hAnsi="Times New Roman" w:eastAsia="仿宋_GB2312" w:cs="Times New Roman"/>
      <w:kern w:val="2"/>
      <w:sz w:val="24"/>
      <w:szCs w:val="32"/>
      <w:lang w:val="en-US" w:eastAsia="zh-CN" w:bidi="ar-SA"/>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customStyle="1" w:styleId="10">
    <w:name w:val="font51"/>
    <w:uiPriority w:val="0"/>
    <w:rPr>
      <w:rFonts w:hint="default" w:ascii="Times New Roman" w:hAnsi="Times New Roman" w:cs="Times New Roman"/>
      <w:color w:val="000000"/>
      <w:sz w:val="22"/>
      <w:szCs w:val="22"/>
      <w:u w:val="none"/>
    </w:rPr>
  </w:style>
  <w:style w:type="character" w:customStyle="1" w:styleId="11">
    <w:name w:val="font21"/>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2024-03-22T07:58:00Z</dcterms:created>
  <dc:creator>Lenovo</dc:creator>
  <cp:lastModifiedBy>Lenovo</cp:lastModifiedBy>
  <cp:lastPrinted>2024-03-25T01:40:12Z</cp:lastPrinted>
  <dcterms:modified xsi:type="dcterms:W3CDTF">2024-03-25T01:40:17Z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