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0F86" w14:textId="77777777" w:rsidR="00E1460E" w:rsidRPr="00E1460E" w:rsidRDefault="00E1460E" w:rsidP="00E1460E">
      <w:pPr>
        <w:autoSpaceDE w:val="0"/>
        <w:autoSpaceDN w:val="0"/>
        <w:adjustRightInd w:val="0"/>
        <w:jc w:val="center"/>
        <w:rPr>
          <w:rFonts w:ascii="微软雅黑" w:eastAsia="微软雅黑" w:hAnsi="微软雅黑" w:cs="MicrosoftYaHei-Bold"/>
          <w:b/>
          <w:bCs/>
          <w:kern w:val="0"/>
          <w:sz w:val="28"/>
          <w:szCs w:val="28"/>
        </w:rPr>
      </w:pP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安溪县大三环沿线（</w:t>
      </w:r>
      <w:proofErr w:type="gramStart"/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涝港</w:t>
      </w:r>
      <w:proofErr w:type="gramEnd"/>
      <w:r w:rsidRPr="00E1460E">
        <w:rPr>
          <w:rFonts w:ascii="微软雅黑" w:eastAsia="微软雅黑" w:hAnsi="微软雅黑" w:cs="MicrosoftYaHei-Bold"/>
          <w:b/>
          <w:bCs/>
          <w:kern w:val="0"/>
          <w:sz w:val="28"/>
          <w:szCs w:val="28"/>
        </w:rPr>
        <w:t>-</w:t>
      </w: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雅兴）地块控制性详细规划</w:t>
      </w:r>
    </w:p>
    <w:p w14:paraId="16492ABA" w14:textId="271922CB" w:rsidR="00A007C3" w:rsidRPr="00E1460E" w:rsidRDefault="00E1460E" w:rsidP="00E1460E">
      <w:pPr>
        <w:jc w:val="center"/>
        <w:rPr>
          <w:rFonts w:ascii="微软雅黑" w:eastAsia="微软雅黑" w:hAnsi="微软雅黑" w:cs="MicrosoftYaHei-Bold"/>
          <w:b/>
          <w:bCs/>
          <w:spacing w:val="30"/>
          <w:kern w:val="0"/>
          <w:sz w:val="40"/>
          <w:szCs w:val="40"/>
        </w:rPr>
      </w:pPr>
      <w:r w:rsidRPr="00E1460E">
        <w:rPr>
          <w:rFonts w:ascii="微软雅黑" w:eastAsia="微软雅黑" w:hAnsi="微软雅黑" w:cs="MicrosoftYaHei-Bold" w:hint="eastAsia"/>
          <w:b/>
          <w:bCs/>
          <w:spacing w:val="30"/>
          <w:kern w:val="0"/>
          <w:sz w:val="40"/>
          <w:szCs w:val="40"/>
        </w:rPr>
        <w:t>城厢</w:t>
      </w:r>
      <w:proofErr w:type="gramStart"/>
      <w:r w:rsidRPr="00E1460E">
        <w:rPr>
          <w:rFonts w:ascii="微软雅黑" w:eastAsia="微软雅黑" w:hAnsi="微软雅黑" w:cs="MicrosoftYaHei-Bold" w:hint="eastAsia"/>
          <w:b/>
          <w:bCs/>
          <w:spacing w:val="30"/>
          <w:kern w:val="0"/>
          <w:sz w:val="40"/>
          <w:szCs w:val="40"/>
        </w:rPr>
        <w:t>镇涝港</w:t>
      </w:r>
      <w:proofErr w:type="gramEnd"/>
      <w:r w:rsidRPr="00E1460E">
        <w:rPr>
          <w:rFonts w:ascii="微软雅黑" w:eastAsia="微软雅黑" w:hAnsi="微软雅黑" w:cs="MicrosoftYaHei-Bold" w:hint="eastAsia"/>
          <w:b/>
          <w:bCs/>
          <w:spacing w:val="30"/>
          <w:kern w:val="0"/>
          <w:sz w:val="40"/>
          <w:szCs w:val="40"/>
        </w:rPr>
        <w:t>片区控制性详细规划</w:t>
      </w:r>
    </w:p>
    <w:p w14:paraId="0A588D15" w14:textId="63C583DE" w:rsidR="00E1460E" w:rsidRPr="00FA2032" w:rsidRDefault="00E1460E" w:rsidP="00FA2032">
      <w:pPr>
        <w:pStyle w:val="Default"/>
        <w:ind w:firstLineChars="200" w:firstLine="440"/>
        <w:jc w:val="center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</w:p>
    <w:p w14:paraId="7C356CA6" w14:textId="2C79D00F" w:rsidR="00E1460E" w:rsidRPr="00E1460E" w:rsidRDefault="00E1460E" w:rsidP="000A161B">
      <w:pPr>
        <w:spacing w:beforeLines="100" w:before="312"/>
        <w:jc w:val="left"/>
        <w:rPr>
          <w:rFonts w:ascii="微软雅黑" w:eastAsia="微软雅黑" w:hAnsi="微软雅黑" w:cs="MicrosoftYaHei-Bold"/>
          <w:b/>
          <w:bCs/>
          <w:kern w:val="0"/>
          <w:sz w:val="28"/>
          <w:szCs w:val="28"/>
        </w:rPr>
      </w:pP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一、区位范围</w:t>
      </w:r>
    </w:p>
    <w:p w14:paraId="64070858" w14:textId="6B8B6BCD" w:rsidR="000A161B" w:rsidRPr="000A161B" w:rsidRDefault="000A161B" w:rsidP="00D643E7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城厢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镇涝港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片区位于安溪县中心城区东部，北侧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与茶博园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片区相连，南侧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背倚风金盖山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，东北侧紧邻蓝溪。规划范围北至甬莞高速及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358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国道，东至南三环路（规划）及涝港村山体，南至凯鹰电器公司，西至员宅村山体，总用地面积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185.02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公顷。</w:t>
      </w:r>
    </w:p>
    <w:p w14:paraId="47C3FB3E" w14:textId="42D3FD08" w:rsidR="00E1460E" w:rsidRPr="00E1460E" w:rsidRDefault="00E1460E" w:rsidP="000A161B">
      <w:pPr>
        <w:spacing w:beforeLines="100" w:before="312"/>
        <w:jc w:val="left"/>
        <w:rPr>
          <w:rFonts w:ascii="微软雅黑" w:eastAsia="微软雅黑" w:hAnsi="微软雅黑" w:cs="MicrosoftYaHei-Bold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二</w:t>
      </w: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规划</w:t>
      </w: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定位</w:t>
      </w:r>
    </w:p>
    <w:p w14:paraId="448A5D07" w14:textId="4309E944" w:rsidR="00E1460E" w:rsidRPr="000A161B" w:rsidRDefault="00E1460E" w:rsidP="00E1460E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安溪县中心城区社会服务及环境服务中心。</w:t>
      </w:r>
    </w:p>
    <w:p w14:paraId="6E46A367" w14:textId="378127D9" w:rsidR="00E1460E" w:rsidRPr="000A161B" w:rsidRDefault="00E1460E" w:rsidP="00E1460E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以殡葬服务和垃圾处理功能为主，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兼具茶博园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拓展商贸物流功能的集中区。</w:t>
      </w:r>
    </w:p>
    <w:p w14:paraId="39AC4C7D" w14:textId="2036FF12" w:rsidR="00063775" w:rsidRPr="00E1460E" w:rsidRDefault="00063775" w:rsidP="000A161B">
      <w:pPr>
        <w:spacing w:beforeLines="100" w:before="312"/>
        <w:jc w:val="left"/>
        <w:rPr>
          <w:rFonts w:ascii="微软雅黑" w:eastAsia="微软雅黑" w:hAnsi="微软雅黑" w:cs="MicrosoftYaHei-Bold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三</w:t>
      </w: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规划规模</w:t>
      </w:r>
    </w:p>
    <w:p w14:paraId="21FF3CF1" w14:textId="77777777" w:rsidR="00063775" w:rsidRPr="00FA2032" w:rsidRDefault="00063775" w:rsidP="00063775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FA2032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本次控</w:t>
      </w:r>
      <w:proofErr w:type="gramStart"/>
      <w:r w:rsidRPr="00FA2032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</w:t>
      </w:r>
      <w:proofErr w:type="gramEnd"/>
      <w:r w:rsidRPr="00FA2032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规划用地</w:t>
      </w:r>
      <w:r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185.02</w:t>
      </w:r>
      <w:r w:rsidRPr="00FA2032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公顷，包括农用地</w:t>
      </w:r>
      <w:r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77.68</w:t>
      </w:r>
      <w:r w:rsidRPr="00FA2032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公顷、建设用地</w:t>
      </w:r>
      <w:r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106.18</w:t>
      </w:r>
      <w:r w:rsidRPr="00FA2032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公顷、自然保护与保留用地</w:t>
      </w:r>
      <w:r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1.16</w:t>
      </w:r>
      <w:r w:rsidRPr="00FA2032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</w:t>
      </w: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。就业岗位约2</w:t>
      </w:r>
      <w:r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700</w:t>
      </w: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个</w:t>
      </w:r>
      <w:r w:rsidRPr="00FA2032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。</w:t>
      </w:r>
    </w:p>
    <w:p w14:paraId="0B1FB7C7" w14:textId="607F8182" w:rsidR="00E1460E" w:rsidRPr="00E1460E" w:rsidRDefault="00063775" w:rsidP="000A161B">
      <w:pPr>
        <w:spacing w:beforeLines="100" w:before="312"/>
        <w:jc w:val="left"/>
        <w:rPr>
          <w:rFonts w:ascii="微软雅黑" w:eastAsia="微软雅黑" w:hAnsi="微软雅黑" w:cs="MicrosoftYaHei-Bold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四</w:t>
      </w:r>
      <w:r w:rsidR="00E1460E"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、</w:t>
      </w:r>
      <w:r w:rsid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功能结构</w:t>
      </w: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规划</w:t>
      </w:r>
    </w:p>
    <w:p w14:paraId="1EE1B9A0" w14:textId="659A5417" w:rsidR="00FA2032" w:rsidRPr="000A161B" w:rsidRDefault="00FA2032" w:rsidP="00FA203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规划形成“两轴、一带、两片”的功能结构。</w:t>
      </w:r>
    </w:p>
    <w:p w14:paraId="549AFAE0" w14:textId="77777777" w:rsidR="00FA2032" w:rsidRPr="000A161B" w:rsidRDefault="00FA2032" w:rsidP="00FA203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两轴：横向沿南三环路产业发展轴，纵向城市服务轴；</w:t>
      </w:r>
    </w:p>
    <w:p w14:paraId="589755B7" w14:textId="35FFB7BD" w:rsidR="00FA2032" w:rsidRPr="000A161B" w:rsidRDefault="00FA2032" w:rsidP="00FA203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一带：沿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358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国道城市门户形象展示带；</w:t>
      </w:r>
    </w:p>
    <w:p w14:paraId="163C659E" w14:textId="77777777" w:rsidR="000A161B" w:rsidRDefault="00FA2032" w:rsidP="000A161B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两片：以规划南三环路为界，北侧以商贸、物流、工业功能为主的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茶产业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配套板块，南侧以殡葬、垃圾处理等功能为主的城市基础设施板块。</w:t>
      </w:r>
    </w:p>
    <w:p w14:paraId="04AD7314" w14:textId="379F4065" w:rsidR="00FA2032" w:rsidRPr="000A161B" w:rsidRDefault="00FA2032" w:rsidP="000A161B">
      <w:pPr>
        <w:spacing w:beforeLines="100" w:before="312"/>
        <w:jc w:val="left"/>
        <w:rPr>
          <w:rFonts w:ascii="微软雅黑" w:eastAsia="微软雅黑" w:hAnsi="微软雅黑" w:cs="MicrosoftYaHei-Bold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lastRenderedPageBreak/>
        <w:t>五</w:t>
      </w: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道路交通</w:t>
      </w:r>
      <w:r w:rsidR="00063775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规划</w:t>
      </w:r>
    </w:p>
    <w:p w14:paraId="3ACA8D17" w14:textId="1D1D981D" w:rsidR="004D30C2" w:rsidRPr="000A161B" w:rsidRDefault="004D30C2" w:rsidP="004D30C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本次控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路网由主干道及支路系统组成，主干道为城市区域性服务道路的南三环路以及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358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国道城市段构成，规划区内支路主要为尽端服务性道路。</w:t>
      </w:r>
    </w:p>
    <w:p w14:paraId="3F27DAD5" w14:textId="1A54C0E5" w:rsidR="004D30C2" w:rsidRPr="000A161B" w:rsidRDefault="004D30C2" w:rsidP="004D30C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主干道：三环路，本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段标准红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线宽度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48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米；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358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国道，红线宽度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45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米。</w:t>
      </w:r>
    </w:p>
    <w:p w14:paraId="260A30A9" w14:textId="77763F40" w:rsidR="004D30C2" w:rsidRPr="000A161B" w:rsidRDefault="004D30C2" w:rsidP="004D30C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支路：红线宽度为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16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米、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12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米、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8.5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米以及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7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米，其中进出南三环路匝道宽度为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8.5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米及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7.0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米。</w:t>
      </w:r>
    </w:p>
    <w:p w14:paraId="7206E9B8" w14:textId="2E9E9F3C" w:rsidR="004D30C2" w:rsidRPr="00E1460E" w:rsidRDefault="004D30C2" w:rsidP="000A161B">
      <w:pPr>
        <w:spacing w:beforeLines="100" w:before="312"/>
        <w:jc w:val="left"/>
        <w:rPr>
          <w:rFonts w:ascii="微软雅黑" w:eastAsia="微软雅黑" w:hAnsi="微软雅黑" w:cs="MicrosoftYaHei-Bold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六</w:t>
      </w: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配套设施</w:t>
      </w:r>
      <w:r w:rsidR="00063775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规划</w:t>
      </w:r>
    </w:p>
    <w:p w14:paraId="4DDED3DD" w14:textId="77777777" w:rsidR="00412B1E" w:rsidRDefault="000C7A49" w:rsidP="00390C30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规划区内配套设施主要包括</w:t>
      </w:r>
      <w:r w:rsidR="00390C30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：</w:t>
      </w:r>
    </w:p>
    <w:p w14:paraId="04240CFD" w14:textId="2400CDAB" w:rsidR="00390C30" w:rsidRPr="00FA2032" w:rsidRDefault="00390C30" w:rsidP="00390C30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商业设施一</w:t>
      </w:r>
      <w:r w:rsidRPr="00063775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处，占地面积4</w:t>
      </w:r>
      <w:r w:rsidRPr="00063775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.99</w:t>
      </w:r>
      <w:r w:rsidRPr="00063775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公顷；</w:t>
      </w:r>
      <w:r w:rsidR="00063775" w:rsidRPr="00063775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社会停车场一处，占地面积0</w:t>
      </w:r>
      <w:r w:rsidR="00063775" w:rsidRPr="00063775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.26</w:t>
      </w:r>
      <w:r w:rsidR="00063775" w:rsidRPr="00063775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公顷；给水泵站三处，占地面积共0</w:t>
      </w:r>
      <w:r w:rsidR="00063775" w:rsidRPr="00063775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.05</w:t>
      </w:r>
      <w:r w:rsidR="00063775" w:rsidRPr="00063775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公顷；垃圾处理设施两处，占地面积共</w:t>
      </w:r>
      <w:r w:rsidR="00063775" w:rsidRPr="00063775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4.57</w:t>
      </w:r>
      <w:r w:rsidR="00063775" w:rsidRPr="00063775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公顷。</w:t>
      </w:r>
    </w:p>
    <w:p w14:paraId="45F18B34" w14:textId="23F122BA" w:rsidR="004D30C2" w:rsidRPr="00E1460E" w:rsidRDefault="004D30C2" w:rsidP="000A161B">
      <w:pPr>
        <w:spacing w:beforeLines="100" w:before="312"/>
        <w:jc w:val="left"/>
        <w:rPr>
          <w:rFonts w:ascii="微软雅黑" w:eastAsia="微软雅黑" w:hAnsi="微软雅黑" w:cs="MicrosoftYaHei-Bold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七</w:t>
      </w:r>
      <w:r w:rsidRPr="00E1460E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绿地及景观系统</w:t>
      </w:r>
      <w:r w:rsidR="00063775">
        <w:rPr>
          <w:rFonts w:ascii="微软雅黑" w:eastAsia="微软雅黑" w:hAnsi="微软雅黑" w:cs="MicrosoftYaHei-Bold" w:hint="eastAsia"/>
          <w:b/>
          <w:bCs/>
          <w:kern w:val="0"/>
          <w:sz w:val="28"/>
          <w:szCs w:val="28"/>
        </w:rPr>
        <w:t>规划</w:t>
      </w:r>
    </w:p>
    <w:p w14:paraId="120AA336" w14:textId="79584315" w:rsidR="004D30C2" w:rsidRPr="000A161B" w:rsidRDefault="004D30C2" w:rsidP="004D30C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本次控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规划绿地与开敞空间用地面积共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18.34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公顷，占总用地的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9.9%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，均为防护绿地。</w:t>
      </w:r>
    </w:p>
    <w:p w14:paraId="47AEBB55" w14:textId="3A9F72FA" w:rsidR="004D30C2" w:rsidRPr="000A161B" w:rsidRDefault="004D30C2" w:rsidP="004D30C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规划形成“三轴、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一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廊、两点、多带”的景观结构。</w:t>
      </w:r>
    </w:p>
    <w:p w14:paraId="025534CC" w14:textId="09376C09" w:rsidR="004D30C2" w:rsidRPr="000A161B" w:rsidRDefault="004D30C2" w:rsidP="004D30C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三轴：甬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莞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高速城市景观轴、南三环路城市景观轴、</w:t>
      </w:r>
      <w:r w:rsidRPr="000A161B"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  <w:t>358</w:t>
      </w: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国道城市景观轴；</w:t>
      </w:r>
    </w:p>
    <w:p w14:paraId="19D73A5F" w14:textId="77777777" w:rsidR="004D30C2" w:rsidRPr="000A161B" w:rsidRDefault="004D30C2" w:rsidP="004D30C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一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廊：</w:t>
      </w:r>
      <w:proofErr w:type="gramStart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漳</w:t>
      </w:r>
      <w:proofErr w:type="gramEnd"/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泉肖铁路廊道；</w:t>
      </w:r>
    </w:p>
    <w:p w14:paraId="70E71432" w14:textId="77777777" w:rsidR="004D30C2" w:rsidRPr="000A161B" w:rsidRDefault="004D30C2" w:rsidP="004D30C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两点：城市景观节点、山体景观节点；</w:t>
      </w:r>
    </w:p>
    <w:p w14:paraId="6BFEB028" w14:textId="77777777" w:rsidR="004D30C2" w:rsidRPr="000A161B" w:rsidRDefault="004D30C2" w:rsidP="004D30C2">
      <w:pPr>
        <w:pStyle w:val="Default"/>
        <w:ind w:firstLineChars="200" w:firstLine="440"/>
        <w:rPr>
          <w:rFonts w:hAnsi="微软雅黑" w:cs="宋体"/>
          <w:color w:val="auto"/>
          <w:sz w:val="22"/>
          <w:szCs w:val="22"/>
          <w:shd w:val="clear" w:color="auto" w:fill="FFFFFF"/>
          <w:lang w:bidi="ar"/>
        </w:rPr>
      </w:pPr>
      <w:r w:rsidRPr="000A161B">
        <w:rPr>
          <w:rFonts w:hAnsi="微软雅黑" w:cs="宋体" w:hint="eastAsia"/>
          <w:color w:val="auto"/>
          <w:sz w:val="22"/>
          <w:szCs w:val="22"/>
          <w:shd w:val="clear" w:color="auto" w:fill="FFFFFF"/>
          <w:lang w:bidi="ar"/>
        </w:rPr>
        <w:t>多带：滨水绿带、山体景观带。</w:t>
      </w:r>
    </w:p>
    <w:p w14:paraId="0ADC7141" w14:textId="77777777" w:rsidR="004D30C2" w:rsidRPr="000A161B" w:rsidRDefault="004D30C2" w:rsidP="004D30C2">
      <w:pPr>
        <w:jc w:val="left"/>
        <w:rPr>
          <w:rFonts w:ascii="微软雅黑" w:eastAsia="微软雅黑" w:hAnsi="微软雅黑" w:cs="宋体"/>
          <w:kern w:val="0"/>
          <w:sz w:val="22"/>
          <w:shd w:val="clear" w:color="auto" w:fill="FFFFFF"/>
          <w:lang w:bidi="ar"/>
        </w:rPr>
      </w:pPr>
    </w:p>
    <w:sectPr w:rsidR="004D30C2" w:rsidRPr="000A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39F8" w14:textId="77777777" w:rsidR="008D0B65" w:rsidRDefault="008D0B65" w:rsidP="00E1460E">
      <w:r>
        <w:separator/>
      </w:r>
    </w:p>
  </w:endnote>
  <w:endnote w:type="continuationSeparator" w:id="0">
    <w:p w14:paraId="43F30FC3" w14:textId="77777777" w:rsidR="008D0B65" w:rsidRDefault="008D0B65" w:rsidP="00E1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YaHei-Bold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99B4" w14:textId="77777777" w:rsidR="008D0B65" w:rsidRDefault="008D0B65" w:rsidP="00E1460E">
      <w:r>
        <w:separator/>
      </w:r>
    </w:p>
  </w:footnote>
  <w:footnote w:type="continuationSeparator" w:id="0">
    <w:p w14:paraId="77197443" w14:textId="77777777" w:rsidR="008D0B65" w:rsidRDefault="008D0B65" w:rsidP="00E1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C3"/>
    <w:rsid w:val="00063775"/>
    <w:rsid w:val="000879EF"/>
    <w:rsid w:val="000A161B"/>
    <w:rsid w:val="000C7A49"/>
    <w:rsid w:val="00121970"/>
    <w:rsid w:val="002E7897"/>
    <w:rsid w:val="00390C30"/>
    <w:rsid w:val="00412B1E"/>
    <w:rsid w:val="004D30C2"/>
    <w:rsid w:val="006C2A04"/>
    <w:rsid w:val="00862BF1"/>
    <w:rsid w:val="008D0B65"/>
    <w:rsid w:val="00997C7F"/>
    <w:rsid w:val="00A007C3"/>
    <w:rsid w:val="00B912CB"/>
    <w:rsid w:val="00BF3475"/>
    <w:rsid w:val="00CB6D01"/>
    <w:rsid w:val="00D643E7"/>
    <w:rsid w:val="00E1460E"/>
    <w:rsid w:val="00F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02879"/>
  <w15:chartTrackingRefBased/>
  <w15:docId w15:val="{B17FBD5D-2135-4D8C-A26B-742E8BA4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60E"/>
    <w:rPr>
      <w:sz w:val="18"/>
      <w:szCs w:val="18"/>
    </w:rPr>
  </w:style>
  <w:style w:type="paragraph" w:styleId="a7">
    <w:name w:val="List Paragraph"/>
    <w:basedOn w:val="a"/>
    <w:uiPriority w:val="34"/>
    <w:qFormat/>
    <w:rsid w:val="00E1460E"/>
    <w:pPr>
      <w:ind w:firstLineChars="200" w:firstLine="420"/>
    </w:pPr>
  </w:style>
  <w:style w:type="paragraph" w:customStyle="1" w:styleId="Default">
    <w:name w:val="Default"/>
    <w:rsid w:val="00E1460E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2022-06-22T07:54:00Z</dcterms:created>
  <dcterms:modified xsi:type="dcterms:W3CDTF">2022-06-22T09:29:00Z</dcterms:modified>
</cp:coreProperties>
</file>