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9CAB0">
      <w:pPr>
        <w:pStyle w:val="8"/>
        <w:widowControl/>
        <w:spacing w:line="640" w:lineRule="exact"/>
        <w:jc w:val="center"/>
        <w:rPr>
          <w:rFonts w:hint="default" w:ascii="Times New Roman" w:hAnsi="Times New Roman" w:cs="Times New Roman"/>
          <w:color w:val="000000"/>
          <w:sz w:val="44"/>
          <w:szCs w:val="44"/>
          <w:lang w:val="en-US"/>
        </w:rPr>
      </w:pPr>
      <w:r>
        <w:rPr>
          <w:rFonts w:hint="eastAsia" w:ascii="方正小标宋简体" w:hAnsi="方正小标宋简体" w:eastAsia="方正小标宋简体" w:cs="方正小标宋简体"/>
          <w:color w:val="000000"/>
          <w:sz w:val="44"/>
          <w:szCs w:val="44"/>
          <w:lang w:eastAsia="zh-CN"/>
        </w:rPr>
        <w:t>安溪县市场监督管理局</w:t>
      </w:r>
    </w:p>
    <w:p w14:paraId="7A4A0C8B">
      <w:pPr>
        <w:pStyle w:val="8"/>
        <w:widowControl/>
        <w:spacing w:line="640" w:lineRule="exact"/>
        <w:jc w:val="center"/>
        <w:rPr>
          <w:rFonts w:hint="default" w:ascii="Times New Roman" w:hAnsi="Times New Roman" w:cs="Times New Roman"/>
          <w:color w:val="000000"/>
          <w:sz w:val="44"/>
          <w:szCs w:val="44"/>
          <w:lang w:val="en-US"/>
        </w:rPr>
      </w:pPr>
      <w:r>
        <w:rPr>
          <w:rFonts w:hint="eastAsia" w:ascii="方正小标宋简体" w:hAnsi="方正小标宋简体" w:eastAsia="方正小标宋简体" w:cs="方正小标宋简体"/>
          <w:color w:val="000000"/>
          <w:sz w:val="44"/>
          <w:szCs w:val="44"/>
          <w:lang w:eastAsia="zh-CN"/>
        </w:rPr>
        <w:t>行政处罚决定书</w:t>
      </w:r>
    </w:p>
    <w:p w14:paraId="489CD5C0">
      <w:pPr>
        <w:pStyle w:val="8"/>
        <w:widowControl/>
        <w:wordWrap w:val="0"/>
        <w:snapToGrid w:val="0"/>
        <w:spacing w:before="312" w:beforeLines="100" w:beforeAutospacing="0" w:after="312" w:afterLines="100" w:afterAutospacing="0" w:line="520" w:lineRule="atLeast"/>
        <w:ind w:left="0" w:right="0"/>
        <w:jc w:val="center"/>
        <w:rPr>
          <w:rFonts w:hint="eastAsia" w:ascii="仿宋_GB2312" w:hAnsi="Times New Roman" w:eastAsia="仿宋_GB2312" w:cs="Times New Roman"/>
          <w:color w:val="auto"/>
          <w:sz w:val="32"/>
          <w:szCs w:val="32"/>
          <w:lang w:val="en-US"/>
        </w:rPr>
      </w:pPr>
      <w:r>
        <w:rPr>
          <w:rFonts w:hint="eastAsia" w:ascii="仿宋_GB2312" w:hAnsi="Times New Roman" w:eastAsia="仿宋_GB2312" w:cs="Times New Roman"/>
          <w:color w:val="auto"/>
          <w:sz w:val="32"/>
          <w:szCs w:val="32"/>
          <w:lang w:eastAsia="zh-CN"/>
        </w:rPr>
        <w:t>安</w:t>
      </w:r>
      <w:r>
        <w:rPr>
          <w:rFonts w:hint="eastAsia" w:ascii="仿宋_GB2312" w:eastAsia="仿宋_GB2312" w:cs="仿宋_GB2312"/>
          <w:color w:val="auto"/>
          <w:sz w:val="32"/>
          <w:szCs w:val="32"/>
          <w:lang w:eastAsia="zh-CN"/>
        </w:rPr>
        <w:t>市监处罚〔</w:t>
      </w:r>
      <w:r>
        <w:rPr>
          <w:rFonts w:hint="eastAsia" w:ascii="仿宋_GB2312" w:hAnsi="Times New Roman" w:eastAsia="仿宋_GB2312" w:cs="Times New Roman"/>
          <w:color w:val="auto"/>
          <w:sz w:val="32"/>
          <w:szCs w:val="32"/>
          <w:u w:val="none"/>
          <w:lang w:val="en-US" w:eastAsia="zh-CN"/>
        </w:rPr>
        <w:t>2026</w:t>
      </w:r>
      <w:r>
        <w:rPr>
          <w:rFonts w:hint="eastAsia" w:ascii="仿宋_GB2312" w:eastAsia="仿宋_GB2312" w:cs="仿宋_GB2312"/>
          <w:color w:val="auto"/>
          <w:sz w:val="32"/>
          <w:szCs w:val="32"/>
          <w:lang w:eastAsia="zh-CN"/>
        </w:rPr>
        <w:t>〕</w:t>
      </w:r>
      <w:r>
        <w:rPr>
          <w:rFonts w:hint="eastAsia" w:ascii="仿宋_GB2312" w:eastAsia="仿宋_GB2312" w:cs="仿宋_GB2312"/>
          <w:color w:val="auto"/>
          <w:sz w:val="32"/>
          <w:szCs w:val="32"/>
          <w:lang w:val="en-US" w:eastAsia="zh-CN"/>
        </w:rPr>
        <w:t>86-1</w:t>
      </w:r>
      <w:r>
        <w:rPr>
          <w:rFonts w:hint="eastAsia" w:ascii="仿宋_GB2312" w:eastAsia="仿宋_GB2312" w:cs="仿宋_GB2312"/>
          <w:color w:val="auto"/>
          <w:sz w:val="32"/>
          <w:szCs w:val="32"/>
          <w:lang w:eastAsia="zh-CN"/>
        </w:rPr>
        <w:t>号</w:t>
      </w:r>
    </w:p>
    <w:p w14:paraId="017B92AD">
      <w:pPr>
        <w:pStyle w:val="8"/>
        <w:keepNext w:val="0"/>
        <w:keepLines w:val="0"/>
        <w:pageBreakBefore w:val="0"/>
        <w:widowControl/>
        <w:kinsoku w:val="0"/>
        <w:wordWrap/>
        <w:overflowPunct/>
        <w:autoSpaceDE w:val="0"/>
        <w:autoSpaceDN w:val="0"/>
        <w:bidi w:val="0"/>
        <w:spacing w:before="0" w:after="0" w:line="520" w:lineRule="exact"/>
        <w:ind w:left="0" w:leftChars="0" w:right="0" w:rightChars="0"/>
        <w:rPr>
          <w:rFonts w:hint="eastAsia" w:ascii="仿宋_GB2312" w:hAnsi="仿宋_GB2312" w:eastAsia="仿宋_GB2312" w:cs="仿宋_GB2312"/>
          <w:sz w:val="32"/>
          <w:szCs w:val="32"/>
          <w:u w:val="none"/>
          <w:lang w:eastAsia="zh-CN"/>
        </w:rPr>
      </w:pPr>
      <w:r>
        <w:rPr>
          <w:rFonts w:hint="eastAsia" w:ascii="仿宋_GB2312" w:eastAsia="仿宋_GB2312" w:cs="仿宋_GB2312"/>
          <w:sz w:val="32"/>
          <w:szCs w:val="32"/>
          <w:lang w:eastAsia="zh-CN"/>
        </w:rPr>
        <w:t>当事人：泉州蓝畅贸易有限公司</w:t>
      </w:r>
    </w:p>
    <w:p w14:paraId="158B1C42">
      <w:pPr>
        <w:pStyle w:val="8"/>
        <w:keepNext w:val="0"/>
        <w:keepLines w:val="0"/>
        <w:pageBreakBefore w:val="0"/>
        <w:widowControl/>
        <w:kinsoku w:val="0"/>
        <w:wordWrap/>
        <w:overflowPunct/>
        <w:autoSpaceDE w:val="0"/>
        <w:autoSpaceDN w:val="0"/>
        <w:bidi w:val="0"/>
        <w:spacing w:before="0" w:after="0" w:line="520" w:lineRule="exact"/>
        <w:ind w:left="0" w:leftChars="0" w:right="0" w:rightChars="0"/>
        <w:rPr>
          <w:rFonts w:hint="eastAsia" w:ascii="仿宋_GB2312" w:eastAsia="仿宋_GB2312" w:cs="仿宋_GB2312"/>
          <w:sz w:val="32"/>
          <w:szCs w:val="32"/>
          <w:lang w:val="en-US" w:eastAsia="zh-CN"/>
        </w:rPr>
      </w:pPr>
      <w:r>
        <w:rPr>
          <w:rFonts w:hint="eastAsia" w:ascii="仿宋_GB2312" w:eastAsia="仿宋_GB2312" w:cs="仿宋_GB2312"/>
          <w:sz w:val="32"/>
          <w:szCs w:val="32"/>
          <w:lang w:eastAsia="zh-CN"/>
        </w:rPr>
        <w:t>主体资格证照名称：</w:t>
      </w:r>
      <w:r>
        <w:rPr>
          <w:rFonts w:hint="eastAsia" w:ascii="仿宋_GB2312" w:hAnsi="仿宋_GB2312" w:eastAsia="仿宋_GB2312" w:cs="仿宋_GB2312"/>
          <w:sz w:val="32"/>
          <w:szCs w:val="32"/>
          <w:u w:val="none"/>
          <w:lang w:eastAsia="zh-CN"/>
        </w:rPr>
        <w:t>营业执照</w:t>
      </w:r>
      <w:r>
        <w:rPr>
          <w:rFonts w:hint="eastAsia" w:ascii="仿宋_GB2312" w:eastAsia="仿宋_GB2312" w:cs="仿宋_GB2312"/>
          <w:sz w:val="32"/>
          <w:szCs w:val="32"/>
          <w:lang w:val="en-US" w:eastAsia="zh-CN"/>
        </w:rPr>
        <w:t xml:space="preserve">                                  </w:t>
      </w:r>
    </w:p>
    <w:p w14:paraId="2153F31E">
      <w:pPr>
        <w:pStyle w:val="8"/>
        <w:keepNext w:val="0"/>
        <w:keepLines w:val="0"/>
        <w:pageBreakBefore w:val="0"/>
        <w:widowControl/>
        <w:kinsoku w:val="0"/>
        <w:wordWrap/>
        <w:overflowPunct/>
        <w:autoSpaceDE w:val="0"/>
        <w:autoSpaceDN w:val="0"/>
        <w:bidi w:val="0"/>
        <w:spacing w:before="0" w:after="0" w:line="520" w:lineRule="exact"/>
        <w:ind w:left="0" w:leftChars="0" w:right="0" w:rightChars="0"/>
        <w:rPr>
          <w:rFonts w:hint="eastAsia" w:ascii="仿宋_GB2312" w:eastAsia="仿宋_GB2312" w:cs="仿宋_GB2312"/>
          <w:sz w:val="32"/>
          <w:szCs w:val="32"/>
          <w:lang w:val="en-US" w:eastAsia="zh-CN"/>
        </w:rPr>
      </w:pPr>
      <w:r>
        <w:rPr>
          <w:rFonts w:hint="eastAsia" w:ascii="仿宋_GB2312" w:eastAsia="仿宋_GB2312" w:cs="仿宋_GB2312"/>
          <w:sz w:val="32"/>
          <w:szCs w:val="32"/>
          <w:lang w:eastAsia="zh-CN"/>
        </w:rPr>
        <w:t>统一社会信用代码：</w:t>
      </w:r>
      <w:r>
        <w:rPr>
          <w:rFonts w:hint="eastAsia" w:ascii="仿宋_GB2312" w:eastAsia="仿宋_GB2312" w:cs="仿宋_GB2312"/>
          <w:sz w:val="32"/>
          <w:szCs w:val="32"/>
          <w:lang w:val="en-US" w:eastAsia="zh-CN"/>
        </w:rPr>
        <w:t>9</w:t>
      </w:r>
      <w:r>
        <w:rPr>
          <w:rFonts w:hint="eastAsia" w:ascii="仿宋_GB2312" w:eastAsia="仿宋_GB2312" w:cs="仿宋_GB2312"/>
          <w:sz w:val="32"/>
          <w:szCs w:val="32"/>
          <w:lang w:eastAsia="zh-CN"/>
        </w:rPr>
        <w:t>1350524MAD17JPR1W</w:t>
      </w:r>
      <w:r>
        <w:rPr>
          <w:rFonts w:hint="eastAsia" w:ascii="仿宋_GB2312" w:eastAsia="仿宋_GB2312" w:cs="仿宋_GB2312"/>
          <w:sz w:val="32"/>
          <w:szCs w:val="32"/>
          <w:lang w:val="en-US" w:eastAsia="zh-CN"/>
        </w:rPr>
        <w:t xml:space="preserve">               </w:t>
      </w:r>
    </w:p>
    <w:p w14:paraId="1C68478B">
      <w:pPr>
        <w:pStyle w:val="8"/>
        <w:keepNext w:val="0"/>
        <w:keepLines w:val="0"/>
        <w:pageBreakBefore w:val="0"/>
        <w:widowControl/>
        <w:kinsoku w:val="0"/>
        <w:wordWrap/>
        <w:overflowPunct/>
        <w:autoSpaceDE w:val="0"/>
        <w:autoSpaceDN w:val="0"/>
        <w:bidi w:val="0"/>
        <w:spacing w:before="0" w:after="0" w:line="520" w:lineRule="exact"/>
        <w:ind w:left="0" w:leftChars="0" w:right="0" w:rightChars="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xml:space="preserve">住所：福建省安溪县剑斗镇云溪村外堀96号                                </w:t>
      </w:r>
    </w:p>
    <w:p w14:paraId="3E03024B">
      <w:pPr>
        <w:pStyle w:val="8"/>
        <w:keepNext w:val="0"/>
        <w:keepLines w:val="0"/>
        <w:pageBreakBefore w:val="0"/>
        <w:widowControl/>
        <w:kinsoku w:val="0"/>
        <w:wordWrap/>
        <w:overflowPunct/>
        <w:autoSpaceDE w:val="0"/>
        <w:autoSpaceDN w:val="0"/>
        <w:bidi w:val="0"/>
        <w:spacing w:before="0" w:after="0" w:line="520" w:lineRule="exact"/>
        <w:ind w:left="0" w:leftChars="0" w:right="0" w:rightChars="0"/>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lang w:eastAsia="zh-CN"/>
        </w:rPr>
        <w:t>法定代表人：</w:t>
      </w:r>
      <w:r>
        <w:rPr>
          <w:rFonts w:hint="eastAsia" w:ascii="仿宋_GB2312" w:hAnsi="仿宋_GB2312" w:eastAsia="仿宋_GB2312" w:cs="仿宋_GB2312"/>
          <w:sz w:val="32"/>
          <w:szCs w:val="32"/>
          <w:u w:val="none"/>
          <w:lang w:val="en-US" w:eastAsia="zh-CN"/>
        </w:rPr>
        <w:t>于常生</w:t>
      </w:r>
    </w:p>
    <w:p w14:paraId="75F1C758">
      <w:pPr>
        <w:pStyle w:val="8"/>
        <w:keepNext w:val="0"/>
        <w:keepLines w:val="0"/>
        <w:pageBreakBefore w:val="0"/>
        <w:widowControl/>
        <w:kinsoku w:val="0"/>
        <w:wordWrap/>
        <w:overflowPunct/>
        <w:topLinePunct w:val="0"/>
        <w:autoSpaceDE w:val="0"/>
        <w:autoSpaceDN w:val="0"/>
        <w:bidi w:val="0"/>
        <w:adjustRightInd w:val="0"/>
        <w:snapToGrid w:val="0"/>
        <w:spacing w:before="313" w:beforeLines="10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u w:val="none"/>
          <w:lang w:eastAsia="zh-CN"/>
        </w:rPr>
        <w:t>根据</w:t>
      </w:r>
      <w:r>
        <w:rPr>
          <w:rFonts w:hint="eastAsia" w:ascii="仿宋_GB2312" w:hAnsi="仿宋_GB2312" w:eastAsia="仿宋_GB2312" w:cs="仿宋_GB2312"/>
          <w:sz w:val="32"/>
          <w:szCs w:val="32"/>
          <w:u w:val="none"/>
          <w:lang w:val="en-US" w:eastAsia="zh-CN"/>
        </w:rPr>
        <w:t>2026年1月27日县局《关于核查和吊销连续2年未按规定报送年度报告企业的通知》，我局剑斗所对辖区连续2年未按规定报送年度报告的企业开展现场核查。经核查，</w:t>
      </w:r>
      <w:r>
        <w:rPr>
          <w:rFonts w:hint="eastAsia" w:ascii="仿宋_GB2312" w:hAnsi="仿宋_GB2312" w:eastAsia="仿宋_GB2312" w:cs="仿宋_GB2312"/>
          <w:sz w:val="32"/>
          <w:szCs w:val="32"/>
          <w:u w:val="none"/>
          <w:lang w:eastAsia="zh-CN"/>
        </w:rPr>
        <w:t>当事人连续</w:t>
      </w:r>
      <w:r>
        <w:rPr>
          <w:rFonts w:hint="eastAsia" w:ascii="仿宋_GB2312" w:hAnsi="仿宋_GB2312" w:eastAsia="仿宋_GB2312" w:cs="仿宋_GB2312"/>
          <w:sz w:val="32"/>
          <w:szCs w:val="32"/>
          <w:u w:val="none"/>
          <w:lang w:val="en-US" w:eastAsia="zh-CN"/>
        </w:rPr>
        <w:t>2年（2023年度和2024年度）未按规定报送年度报告被列入经营异常名录未改正，且通过登记的住所或者经营场所无法</w:t>
      </w:r>
      <w:r>
        <w:rPr>
          <w:rFonts w:hint="eastAsia" w:ascii="仿宋_GB2312" w:hAnsi="仿宋_GB2312" w:eastAsia="仿宋_GB2312" w:cs="仿宋_GB2312"/>
          <w:sz w:val="32"/>
          <w:szCs w:val="32"/>
          <w:u w:val="none"/>
          <w:lang w:eastAsia="zh-CN"/>
        </w:rPr>
        <w:t>取得联系。当事人涉嫌违反</w:t>
      </w:r>
      <w:r>
        <w:rPr>
          <w:rFonts w:hint="eastAsia" w:ascii="仿宋_GB2312" w:hAnsi="仿宋_GB2312" w:eastAsia="仿宋_GB2312" w:cs="仿宋_GB2312"/>
          <w:sz w:val="32"/>
          <w:szCs w:val="32"/>
          <w:u w:val="none"/>
          <w:lang w:val="en-US" w:eastAsia="zh-CN"/>
        </w:rPr>
        <w:t>《企业信息公示暂行条例》第八条第一款的规定，</w:t>
      </w:r>
      <w:r>
        <w:rPr>
          <w:rFonts w:hint="eastAsia" w:ascii="仿宋_GB2312" w:hAnsi="仿宋_GB2312" w:eastAsia="仿宋_GB2312" w:cs="仿宋_GB2312"/>
          <w:color w:val="000000"/>
          <w:sz w:val="32"/>
          <w:szCs w:val="32"/>
          <w:lang w:val="en-US" w:eastAsia="zh-CN"/>
        </w:rPr>
        <w:t xml:space="preserve">我局于2026年3月16日对当事人予以立案调查。                                                  </w:t>
      </w:r>
    </w:p>
    <w:p w14:paraId="44DE4597">
      <w:pPr>
        <w:pStyle w:val="8"/>
        <w:keepNext w:val="0"/>
        <w:keepLines w:val="0"/>
        <w:pageBreakBefore w:val="0"/>
        <w:widowControl/>
        <w:kinsoku w:val="0"/>
        <w:wordWrap/>
        <w:overflowPunct/>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经查明，</w:t>
      </w:r>
      <w:r>
        <w:rPr>
          <w:rFonts w:hint="eastAsia" w:ascii="仿宋_GB2312" w:hAnsi="仿宋_GB2312" w:eastAsia="仿宋_GB2312" w:cs="仿宋_GB2312"/>
          <w:sz w:val="32"/>
          <w:szCs w:val="32"/>
          <w:u w:val="none"/>
          <w:lang w:eastAsia="zh-CN"/>
        </w:rPr>
        <w:t>当事人</w:t>
      </w:r>
      <w:r>
        <w:rPr>
          <w:rFonts w:hint="eastAsia" w:ascii="仿宋_GB2312" w:hAnsi="仿宋_GB2312" w:eastAsia="仿宋_GB2312" w:cs="仿宋_GB2312"/>
          <w:color w:val="000000"/>
          <w:sz w:val="32"/>
          <w:szCs w:val="32"/>
          <w:lang w:val="en-US" w:eastAsia="zh-CN"/>
        </w:rPr>
        <w:t>连续两年（2023年度和2024年度）未报送年度报告，且已列入企业经营异常名录。截止至调查终结之日，当事人未移出经营异常名录。经我局执法人员现场核查，</w:t>
      </w:r>
      <w:r>
        <w:rPr>
          <w:rFonts w:hint="eastAsia" w:ascii="仿宋_GB2312" w:hAnsi="仿宋_GB2312" w:eastAsia="仿宋_GB2312" w:cs="仿宋_GB2312"/>
          <w:sz w:val="32"/>
          <w:szCs w:val="32"/>
          <w:u w:val="none"/>
          <w:lang w:eastAsia="zh-CN"/>
        </w:rPr>
        <w:t>当事人</w:t>
      </w:r>
      <w:r>
        <w:rPr>
          <w:rFonts w:hint="eastAsia" w:ascii="仿宋_GB2312" w:hAnsi="仿宋_GB2312" w:eastAsia="仿宋_GB2312" w:cs="仿宋_GB2312"/>
          <w:color w:val="000000"/>
          <w:sz w:val="32"/>
          <w:szCs w:val="32"/>
          <w:lang w:val="en-US" w:eastAsia="zh-CN"/>
        </w:rPr>
        <w:t>已不在原登记地址经营或联系不上。2026年3月26日，我局在安溪县人民政府网站发布《安溪县市场监督管理局关于拟吊销营业执照的公告》（2026年第一批）（http://www.fjax.gov.cn/zwgk/xwzx/tzgg/202603/t20260326_3278106.htm），要求当事人在公告之日起15日内向我局提供企业已依法开展经营活动的证据材料。至公告期满时，</w:t>
      </w:r>
      <w:r>
        <w:rPr>
          <w:rFonts w:hint="eastAsia" w:ascii="仿宋_GB2312" w:hAnsi="仿宋_GB2312" w:eastAsia="仿宋_GB2312" w:cs="仿宋_GB2312"/>
          <w:sz w:val="32"/>
          <w:szCs w:val="32"/>
          <w:u w:val="none"/>
          <w:lang w:eastAsia="zh-CN"/>
        </w:rPr>
        <w:t>当事人</w:t>
      </w:r>
      <w:r>
        <w:rPr>
          <w:rFonts w:hint="eastAsia" w:ascii="仿宋_GB2312" w:hAnsi="仿宋_GB2312" w:eastAsia="仿宋_GB2312" w:cs="仿宋_GB2312"/>
          <w:color w:val="000000"/>
          <w:sz w:val="32"/>
          <w:szCs w:val="32"/>
          <w:lang w:val="en-US" w:eastAsia="zh-CN"/>
        </w:rPr>
        <w:t>未向我局提供企业已依法开展经营活动的证据材料。</w:t>
      </w:r>
    </w:p>
    <w:p w14:paraId="69346B42">
      <w:pPr>
        <w:pStyle w:val="8"/>
        <w:keepNext w:val="0"/>
        <w:keepLines w:val="0"/>
        <w:pageBreakBefore w:val="0"/>
        <w:widowControl/>
        <w:kinsoku w:val="0"/>
        <w:wordWrap/>
        <w:overflowPunct/>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上述事实，主要有以下证据证明：</w:t>
      </w:r>
    </w:p>
    <w:p w14:paraId="0E7F0F29">
      <w:pPr>
        <w:pStyle w:val="8"/>
        <w:keepNext w:val="0"/>
        <w:keepLines w:val="0"/>
        <w:pageBreakBefore w:val="0"/>
        <w:widowControl/>
        <w:kinsoku w:val="0"/>
        <w:wordWrap/>
        <w:overflowPunct/>
        <w:topLinePunct w:val="0"/>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证据</w:t>
      </w:r>
      <w:r>
        <w:rPr>
          <w:rFonts w:hint="eastAsia" w:ascii="仿宋_GB2312" w:hAnsi="仿宋_GB2312" w:eastAsia="仿宋_GB2312" w:cs="仿宋_GB2312"/>
          <w:color w:val="auto"/>
          <w:sz w:val="32"/>
          <w:szCs w:val="32"/>
          <w:lang w:val="en-US" w:eastAsia="zh-CN"/>
        </w:rPr>
        <w:t>1：我局发布的《关于核查和吊销连续2年未按规定报送年度报告企业的通知》，证明案件来源；</w:t>
      </w:r>
    </w:p>
    <w:p w14:paraId="3328B10D">
      <w:pPr>
        <w:pStyle w:val="8"/>
        <w:keepNext w:val="0"/>
        <w:keepLines w:val="0"/>
        <w:pageBreakBefore w:val="0"/>
        <w:widowControl/>
        <w:kinsoku w:val="0"/>
        <w:wordWrap/>
        <w:overflowPunct/>
        <w:topLinePunct w:val="0"/>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证据2：泉州蓝畅贸易有限公司等2家企业现场核查情况汇总表和市场主体住所（经营场所）现场核查情况表，证明上述企业未在原企业登记地址从事生产经营活动且通过登记的住所或者经营场所无法取得联系的事实；</w:t>
      </w:r>
    </w:p>
    <w:p w14:paraId="485A50BD">
      <w:pPr>
        <w:pStyle w:val="8"/>
        <w:keepNext w:val="0"/>
        <w:keepLines w:val="0"/>
        <w:pageBreakBefore w:val="0"/>
        <w:widowControl/>
        <w:kinsoku w:val="0"/>
        <w:wordWrap/>
        <w:overflowPunct/>
        <w:topLinePunct w:val="0"/>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证据3：电子数据证据提存笔录1份和安溪县人民政府网站公告，证明我局依法定程序在安溪县人民政府门户网站发布公告；</w:t>
      </w:r>
    </w:p>
    <w:p w14:paraId="69A212D5">
      <w:pPr>
        <w:pStyle w:val="8"/>
        <w:keepNext w:val="0"/>
        <w:keepLines w:val="0"/>
        <w:pageBreakBefore w:val="0"/>
        <w:widowControl/>
        <w:kinsoku w:val="0"/>
        <w:wordWrap/>
        <w:overflowPunct/>
        <w:topLinePunct w:val="0"/>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证据4：电子数据证据提存笔录1份和泉州蓝畅贸易有限公司等2家企业在国家企业信用信息公示系统列入经营异常名录查询结果截图2张，证明当事人连续2年未按规定报送年度报告被列入经营异常名录未改正的事实。</w:t>
      </w:r>
    </w:p>
    <w:p w14:paraId="06DDE010">
      <w:pPr>
        <w:pStyle w:val="8"/>
        <w:keepNext w:val="0"/>
        <w:keepLines w:val="0"/>
        <w:pageBreakBefore w:val="0"/>
        <w:widowControl/>
        <w:kinsoku w:val="0"/>
        <w:wordWrap/>
        <w:overflowPunct/>
        <w:topLinePunct w:val="0"/>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Times New Roman" w:eastAsia="仿宋_GB2312" w:cs="Times New Roman"/>
          <w:color w:val="000000"/>
          <w:sz w:val="32"/>
          <w:szCs w:val="32"/>
          <w:u w:val="single"/>
          <w:lang w:val="en-US"/>
        </w:rPr>
      </w:pPr>
      <w:r>
        <w:rPr>
          <w:rFonts w:hint="eastAsia" w:ascii="仿宋_GB2312" w:hAnsi="仿宋_GB2312" w:eastAsia="仿宋_GB2312" w:cs="仿宋_GB2312"/>
          <w:color w:val="auto"/>
          <w:sz w:val="32"/>
          <w:szCs w:val="32"/>
        </w:rPr>
        <w:t>在案件调查结束后，我局于202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日依法向当事人送达了《行政处罚告知书》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安市监罚告〔202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JDS2</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，告知当事人拟对其作出的处罚决定</w:t>
      </w:r>
      <w:r>
        <w:rPr>
          <w:rFonts w:hint="eastAsia" w:ascii="仿宋_GB2312" w:hAnsi="仿宋_GB2312" w:eastAsia="仿宋_GB2312" w:cs="仿宋_GB2312"/>
          <w:color w:val="auto"/>
          <w:sz w:val="32"/>
          <w:szCs w:val="32"/>
          <w:lang w:eastAsia="zh-CN"/>
        </w:rPr>
        <w:t>的内容及</w:t>
      </w:r>
      <w:r>
        <w:rPr>
          <w:rFonts w:hint="eastAsia" w:ascii="仿宋_GB2312" w:hAnsi="仿宋_GB2312" w:eastAsia="仿宋_GB2312" w:cs="仿宋_GB2312"/>
          <w:color w:val="auto"/>
          <w:sz w:val="32"/>
          <w:szCs w:val="32"/>
        </w:rPr>
        <w:t>事实、理由、依据</w:t>
      </w:r>
      <w:r>
        <w:rPr>
          <w:rFonts w:hint="eastAsia" w:ascii="仿宋_GB2312" w:hAnsi="仿宋_GB2312" w:eastAsia="仿宋_GB2312" w:cs="仿宋_GB2312"/>
          <w:color w:val="auto"/>
          <w:sz w:val="32"/>
          <w:szCs w:val="32"/>
          <w:lang w:eastAsia="zh-CN"/>
        </w:rPr>
        <w:t>和当事人依法</w:t>
      </w:r>
      <w:r>
        <w:rPr>
          <w:rFonts w:hint="eastAsia" w:ascii="仿宋_GB2312" w:hAnsi="仿宋_GB2312" w:eastAsia="仿宋_GB2312" w:cs="仿宋_GB2312"/>
          <w:color w:val="auto"/>
          <w:sz w:val="32"/>
          <w:szCs w:val="32"/>
        </w:rPr>
        <w:t>享有的权利，当事人在法定期限内未行使陈述、申辩</w:t>
      </w:r>
      <w:r>
        <w:rPr>
          <w:rFonts w:hint="eastAsia" w:ascii="仿宋_GB2312" w:hAnsi="仿宋_GB2312" w:eastAsia="仿宋_GB2312" w:cs="仿宋_GB2312"/>
          <w:color w:val="auto"/>
          <w:sz w:val="32"/>
          <w:szCs w:val="32"/>
          <w:lang w:eastAsia="zh-CN"/>
        </w:rPr>
        <w:t>和听证</w:t>
      </w:r>
      <w:r>
        <w:rPr>
          <w:rFonts w:hint="eastAsia" w:ascii="仿宋_GB2312" w:hAnsi="仿宋_GB2312" w:eastAsia="仿宋_GB2312" w:cs="仿宋_GB2312"/>
          <w:color w:val="auto"/>
          <w:sz w:val="32"/>
          <w:szCs w:val="32"/>
        </w:rPr>
        <w:t>的权利。</w:t>
      </w:r>
    </w:p>
    <w:p w14:paraId="52D68D59">
      <w:pPr>
        <w:keepNext w:val="0"/>
        <w:keepLines w:val="0"/>
        <w:pageBreakBefore w:val="0"/>
        <w:kinsoku w:val="0"/>
        <w:wordWrap/>
        <w:overflowPunct/>
        <w:autoSpaceDE w:val="0"/>
        <w:autoSpaceDN w:val="0"/>
        <w:bidi w:val="0"/>
        <w:spacing w:line="52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我局认为，</w:t>
      </w:r>
      <w:r>
        <w:rPr>
          <w:rFonts w:hint="eastAsia" w:ascii="仿宋_GB2312" w:hAnsi="仿宋_GB2312" w:eastAsia="仿宋_GB2312" w:cs="仿宋_GB2312"/>
          <w:sz w:val="32"/>
          <w:szCs w:val="32"/>
          <w:u w:val="none"/>
          <w:lang w:eastAsia="zh-CN"/>
        </w:rPr>
        <w:t>当事人</w:t>
      </w:r>
      <w:r>
        <w:rPr>
          <w:rFonts w:hint="eastAsia" w:ascii="仿宋_GB2312" w:hAnsi="仿宋_GB2312" w:eastAsia="仿宋_GB2312" w:cs="仿宋_GB2312"/>
          <w:color w:val="000000"/>
          <w:sz w:val="32"/>
          <w:szCs w:val="32"/>
          <w:lang w:val="en-US" w:eastAsia="zh-CN"/>
        </w:rPr>
        <w:t>连续2年（2023年度和2024年度）未按规定报送年度报告被列入经营异常名录未改正，且通过登记的住所或经营场所无法取得联系，该行为违反了《企业信息公示暂行条例》第八条第一款“企业应当于每年1月1日至6月30日，通过国家企业信用信息公示系统向市场监督管理部门报送上一年度年度报告，并向社会公示。”的规定，构成连续2年未按规定报送年度报告被列入经营异常名录未改正，且通过登记的住所或者经营场所无法取得联系的违法行为。</w:t>
      </w:r>
    </w:p>
    <w:p w14:paraId="17E15A11">
      <w:pPr>
        <w:keepNext w:val="0"/>
        <w:keepLines w:val="0"/>
        <w:pageBreakBefore w:val="0"/>
        <w:kinsoku w:val="0"/>
        <w:wordWrap/>
        <w:overflowPunct/>
        <w:autoSpaceDE w:val="0"/>
        <w:autoSpaceDN w:val="0"/>
        <w:bidi w:val="0"/>
        <w:spacing w:line="520"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因此，依据</w:t>
      </w:r>
      <w:r>
        <w:rPr>
          <w:rFonts w:hint="eastAsia" w:ascii="仿宋_GB2312" w:hAnsi="仿宋_GB2312" w:eastAsia="仿宋_GB2312" w:cs="仿宋_GB2312"/>
          <w:sz w:val="32"/>
          <w:szCs w:val="32"/>
          <w:u w:val="none"/>
          <w:lang w:val="en-US" w:eastAsia="zh-CN" w:bidi="ar-SA"/>
        </w:rPr>
        <w:t>《企业信息公示暂行条例》第十八条第一款“企业未按照本条例规定的期限公示年度报告或者未按照市场监督管理部门责令的期限公示有关企业信息的，由县级以上市场监督管理部门列入经营异常名录，并依法给予行政处罚。企业因连续2年未按规定报送年度报告被列入经营异常名录未改正，且通过登记的住所或者经营场所无法取得联系的，由县级以上市场监督管理部门吊销营业执照。”的规定，</w:t>
      </w:r>
      <w:r>
        <w:rPr>
          <w:rFonts w:hint="eastAsia" w:ascii="仿宋_GB2312" w:hAnsi="仿宋_GB2312" w:eastAsia="仿宋_GB2312" w:cs="仿宋_GB2312"/>
          <w:color w:val="000000"/>
          <w:sz w:val="32"/>
          <w:szCs w:val="32"/>
          <w:lang w:eastAsia="zh-CN"/>
        </w:rPr>
        <w:t>应当给予当事人吊销营业执照</w:t>
      </w:r>
      <w:r>
        <w:rPr>
          <w:rFonts w:hint="eastAsia" w:ascii="仿宋_GB2312" w:hAnsi="仿宋_GB2312" w:eastAsia="仿宋_GB2312" w:cs="仿宋_GB2312"/>
          <w:color w:val="000000"/>
          <w:sz w:val="32"/>
          <w:szCs w:val="32"/>
          <w:lang w:val="en-US" w:eastAsia="zh-CN"/>
        </w:rPr>
        <w:t>的行政处罚。</w:t>
      </w:r>
    </w:p>
    <w:p w14:paraId="0989BF2F">
      <w:pPr>
        <w:keepNext w:val="0"/>
        <w:keepLines w:val="0"/>
        <w:pageBreakBefore w:val="0"/>
        <w:widowControl w:val="0"/>
        <w:kinsoku w:val="0"/>
        <w:wordWrap/>
        <w:overflowPunct/>
        <w:topLinePunct/>
        <w:autoSpaceDE w:val="0"/>
        <w:autoSpaceDN w:val="0"/>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综上，当事人上述行为违反了《企业信息公示暂行条例》第八条第一款的规定，依据《企业信息公示暂行条例》第十八条第一款的规定，现决定对当事人处罚如下：</w:t>
      </w:r>
    </w:p>
    <w:p w14:paraId="0BA79D8C">
      <w:pPr>
        <w:keepNext w:val="0"/>
        <w:keepLines w:val="0"/>
        <w:pageBreakBefore w:val="0"/>
        <w:widowControl w:val="0"/>
        <w:kinsoku w:val="0"/>
        <w:wordWrap/>
        <w:overflowPunct/>
        <w:topLinePunct/>
        <w:autoSpaceDE w:val="0"/>
        <w:autoSpaceDN w:val="0"/>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吊销营业执照。</w:t>
      </w:r>
    </w:p>
    <w:p w14:paraId="203E6F94">
      <w:pPr>
        <w:keepNext w:val="0"/>
        <w:keepLines w:val="0"/>
        <w:pageBreakBefore w:val="0"/>
        <w:widowControl w:val="0"/>
        <w:kinsoku w:val="0"/>
        <w:wordWrap/>
        <w:overflowPunct/>
        <w:topLinePunct/>
        <w:autoSpaceDE w:val="0"/>
        <w:autoSpaceDN w:val="0"/>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如不服本处罚决定，可在接到处罚决定书之日起六十日内，向安溪县人民政府申请行政复议，也可在接到本处罚决定书之日起六个月内直接向人民法院提起行政诉讼。当事人对行政处罚决定不服申请行政复议或者提起行政诉讼的，行政处罚决定不停止执行。</w:t>
      </w:r>
    </w:p>
    <w:p w14:paraId="0AEA87F4">
      <w:pPr>
        <w:keepNext w:val="0"/>
        <w:keepLines w:val="0"/>
        <w:pageBreakBefore w:val="0"/>
        <w:widowControl w:val="0"/>
        <w:kinsoku w:val="0"/>
        <w:wordWrap/>
        <w:overflowPunct/>
        <w:topLinePunct/>
        <w:autoSpaceDE w:val="0"/>
        <w:autoSpaceDN w:val="0"/>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rPr>
      </w:pPr>
    </w:p>
    <w:p w14:paraId="79C438CF">
      <w:pPr>
        <w:keepNext w:val="0"/>
        <w:keepLines w:val="0"/>
        <w:pageBreakBefore w:val="0"/>
        <w:widowControl w:val="0"/>
        <w:kinsoku w:val="0"/>
        <w:wordWrap/>
        <w:overflowPunct/>
        <w:topLinePunct/>
        <w:autoSpaceDE w:val="0"/>
        <w:autoSpaceDN w:val="0"/>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lang w:eastAsia="zh-CN"/>
        </w:rPr>
      </w:pPr>
    </w:p>
    <w:p w14:paraId="68A66FB8">
      <w:pPr>
        <w:pStyle w:val="8"/>
        <w:keepNext w:val="0"/>
        <w:keepLines w:val="0"/>
        <w:pageBreakBefore w:val="0"/>
        <w:widowControl/>
        <w:kinsoku w:val="0"/>
        <w:wordWrap/>
        <w:overflowPunct/>
        <w:topLinePunct w:val="0"/>
        <w:autoSpaceDE w:val="0"/>
        <w:autoSpaceDN w:val="0"/>
        <w:bidi w:val="0"/>
        <w:adjustRightInd w:val="0"/>
        <w:snapToGrid w:val="0"/>
        <w:spacing w:line="520" w:lineRule="exact"/>
        <w:ind w:left="0" w:firstLine="601"/>
        <w:jc w:val="right"/>
        <w:textAlignment w:val="baseline"/>
        <w:rPr>
          <w:rFonts w:hint="eastAsia" w:ascii="仿宋_GB2312" w:hAnsi="仿宋_GB2312" w:eastAsia="仿宋_GB2312" w:cs="仿宋_GB2312"/>
          <w:color w:val="000000"/>
          <w:sz w:val="32"/>
          <w:szCs w:val="32"/>
          <w:lang w:val="en-US"/>
        </w:rPr>
      </w:pPr>
      <w:r>
        <w:rPr>
          <w:rFonts w:hint="eastAsia" w:ascii="仿宋_GB2312" w:hAnsi="仿宋_GB2312" w:eastAsia="仿宋_GB2312" w:cs="仿宋_GB2312"/>
          <w:color w:val="000000"/>
          <w:sz w:val="32"/>
          <w:szCs w:val="32"/>
          <w:lang w:eastAsia="zh-CN"/>
        </w:rPr>
        <w:t>安溪县市场监督管理局</w:t>
      </w:r>
    </w:p>
    <w:p w14:paraId="511A01BA">
      <w:pPr>
        <w:pStyle w:val="8"/>
        <w:keepNext w:val="0"/>
        <w:keepLines w:val="0"/>
        <w:pageBreakBefore w:val="0"/>
        <w:widowControl/>
        <w:kinsoku w:val="0"/>
        <w:wordWrap/>
        <w:overflowPunct/>
        <w:topLinePunct w:val="0"/>
        <w:autoSpaceDE w:val="0"/>
        <w:autoSpaceDN w:val="0"/>
        <w:bidi w:val="0"/>
        <w:adjustRightInd w:val="0"/>
        <w:snapToGrid w:val="0"/>
        <w:spacing w:after="313" w:afterLines="100" w:line="520" w:lineRule="exact"/>
        <w:ind w:left="0" w:firstLine="601"/>
        <w:jc w:val="right"/>
        <w:textAlignment w:val="baseline"/>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lang w:val="en-US" w:eastAsia="zh-CN"/>
        </w:rPr>
        <w:t>2026</w:t>
      </w:r>
      <w:r>
        <w:rPr>
          <w:rFonts w:hint="eastAsia" w:ascii="仿宋_GB2312" w:hAnsi="仿宋_GB2312" w:eastAsia="仿宋_GB2312" w:cs="仿宋_GB2312"/>
          <w:color w:val="000000"/>
          <w:sz w:val="32"/>
          <w:szCs w:val="32"/>
          <w:lang w:eastAsia="zh-CN"/>
        </w:rPr>
        <w:t>年</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lang w:eastAsia="zh-CN"/>
        </w:rPr>
        <w:t>月</w:t>
      </w:r>
      <w:r>
        <w:rPr>
          <w:rFonts w:hint="eastAsia" w:ascii="仿宋_GB2312" w:hAnsi="仿宋_GB2312" w:eastAsia="仿宋_GB2312" w:cs="仿宋_GB2312"/>
          <w:color w:val="000000"/>
          <w:sz w:val="32"/>
          <w:szCs w:val="32"/>
          <w:lang w:val="en-US" w:eastAsia="zh-CN"/>
        </w:rPr>
        <w:t>18</w:t>
      </w:r>
      <w:bookmarkStart w:id="0" w:name="_GoBack"/>
      <w:bookmarkEnd w:id="0"/>
      <w:r>
        <w:rPr>
          <w:rFonts w:hint="eastAsia" w:ascii="仿宋_GB2312" w:hAnsi="仿宋_GB2312" w:eastAsia="仿宋_GB2312" w:cs="仿宋_GB2312"/>
          <w:color w:val="000000"/>
          <w:sz w:val="32"/>
          <w:szCs w:val="32"/>
          <w:lang w:eastAsia="zh-CN"/>
        </w:rPr>
        <w:t>日</w:t>
      </w:r>
    </w:p>
    <w:p w14:paraId="1B01E90A">
      <w:pPr>
        <w:pStyle w:val="8"/>
        <w:keepNext w:val="0"/>
        <w:keepLines w:val="0"/>
        <w:pageBreakBefore w:val="0"/>
        <w:widowControl/>
        <w:kinsoku w:val="0"/>
        <w:wordWrap/>
        <w:overflowPunct/>
        <w:topLinePunct w:val="0"/>
        <w:autoSpaceDE w:val="0"/>
        <w:autoSpaceDN w:val="0"/>
        <w:bidi w:val="0"/>
        <w:adjustRightInd w:val="0"/>
        <w:snapToGrid w:val="0"/>
        <w:spacing w:after="313" w:afterLines="100" w:line="520" w:lineRule="exact"/>
        <w:jc w:val="both"/>
        <w:textAlignment w:val="baseline"/>
        <w:rPr>
          <w:rFonts w:hint="eastAsia" w:ascii="仿宋_GB2312" w:hAnsi="仿宋_GB2312" w:eastAsia="仿宋_GB2312" w:cs="仿宋_GB2312"/>
          <w:color w:val="000000"/>
          <w:sz w:val="32"/>
          <w:szCs w:val="32"/>
          <w:lang w:eastAsia="zh-CN"/>
        </w:rPr>
      </w:pPr>
    </w:p>
    <w:p w14:paraId="195D6FDD">
      <w:pPr>
        <w:pStyle w:val="8"/>
        <w:widowControl/>
        <w:snapToGrid w:val="0"/>
        <w:spacing w:line="560" w:lineRule="exact"/>
        <w:jc w:val="center"/>
        <w:rPr>
          <w:lang w:val="en-US"/>
        </w:rPr>
      </w:pPr>
      <w:r>
        <w:rPr>
          <w:rFonts w:hint="eastAsia" w:ascii="黑体" w:eastAsia="黑体" w:cs="黑体"/>
          <w:b/>
          <w:bCs w:val="0"/>
          <w:color w:val="000000"/>
          <w:sz w:val="32"/>
          <w:szCs w:val="32"/>
          <w:lang w:eastAsia="zh-CN"/>
        </w:rPr>
        <w:t>（市场监督管理部门将依法向社会公开行政处罚决定信息）</w:t>
      </w:r>
    </w:p>
    <w:p w14:paraId="1818F01E">
      <w:pPr>
        <w:pStyle w:val="8"/>
        <w:widowControl/>
        <w:snapToGrid w:val="0"/>
        <w:spacing w:line="560" w:lineRule="exact"/>
        <w:rPr>
          <w:lang w:val="en-US"/>
        </w:rPr>
      </w:pPr>
      <w:r>
        <w:rPr>
          <w:rFonts w:hint="default" w:ascii="Calibri" w:hAnsi="Calibri" w:eastAsia="宋体" w:cs="宋体"/>
          <w:snapToGrid w:val="0"/>
          <w:color w:val="000000"/>
          <w:kern w:val="0"/>
          <w:sz w:val="21"/>
          <w:szCs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275590</wp:posOffset>
                </wp:positionV>
                <wp:extent cx="5579745" cy="635"/>
                <wp:effectExtent l="0" t="0" r="0" b="0"/>
                <wp:wrapNone/>
                <wp:docPr id="1" name="直线 2"/>
                <wp:cNvGraphicFramePr/>
                <a:graphic xmlns:a="http://schemas.openxmlformats.org/drawingml/2006/main">
                  <a:graphicData uri="http://schemas.microsoft.com/office/word/2010/wordprocessingShape">
                    <wps:wsp>
                      <wps:cNvCnPr/>
                      <wps:spPr>
                        <a:xfrm>
                          <a:off x="0" y="0"/>
                          <a:ext cx="5579745"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0.75pt;margin-top:21.7pt;height:0.05pt;width:439.35pt;z-index:251659264;mso-width-relative:page;mso-height-relative:page;" filled="f" stroked="t" coordsize="21600,21600" o:gfxdata="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32Hyr0wAA&#10;AAcBAAAPAAAAAAAAAAEAIAAAACIAAABkcnMvZG93bnJldi54bWxQSwECFAAUAAAACACHTuJA9vDl&#10;guoBAADeAwAADgAAAAAAAAABACAAAAAiAQAAZHJzL2Uyb0RvYy54bWxQSwUGAAAAAAYABgBZAQAA&#10;fgUAAAAA&#10;">
                <v:fill on="f" focussize="0,0"/>
                <v:stroke weight="1.5pt" color="#000000" joinstyle="round"/>
                <v:imagedata o:title=""/>
                <o:lock v:ext="edit" aspectratio="f"/>
              </v:line>
            </w:pict>
          </mc:Fallback>
        </mc:AlternateContent>
      </w:r>
    </w:p>
    <w:p w14:paraId="40AAF414">
      <w:pPr>
        <w:pStyle w:val="8"/>
        <w:widowControl/>
        <w:snapToGrid w:val="0"/>
        <w:spacing w:line="560" w:lineRule="exact"/>
        <w:jc w:val="center"/>
        <w:rPr>
          <w:rFonts w:hint="eastAsia" w:ascii="仿宋_GB2312" w:hAnsi="仿宋_GB2312" w:eastAsia="仿宋_GB2312" w:cs="仿宋_GB2312"/>
          <w:spacing w:val="0"/>
          <w:w w:val="100"/>
          <w:sz w:val="32"/>
          <w:szCs w:val="32"/>
        </w:rPr>
      </w:pPr>
      <w:r>
        <w:rPr>
          <w:rFonts w:hint="eastAsia" w:ascii="仿宋_GB2312" w:eastAsia="仿宋_GB2312" w:cs="仿宋_GB2312"/>
          <w:color w:val="000000"/>
          <w:sz w:val="32"/>
          <w:szCs w:val="32"/>
          <w:lang w:eastAsia="zh-CN"/>
        </w:rPr>
        <w:t>本文书一式</w:t>
      </w:r>
      <w:r>
        <w:rPr>
          <w:rFonts w:hint="eastAsia" w:ascii="Times New Roman" w:hAnsi="Times New Roman" w:eastAsia="仿宋_GB2312" w:cs="Times New Roman"/>
          <w:color w:val="000000"/>
          <w:sz w:val="32"/>
          <w:szCs w:val="32"/>
          <w:u w:val="none"/>
          <w:lang w:val="en-US" w:eastAsia="zh-CN"/>
        </w:rPr>
        <w:t>二</w:t>
      </w:r>
      <w:r>
        <w:rPr>
          <w:rFonts w:hint="eastAsia" w:ascii="仿宋_GB2312" w:eastAsia="仿宋_GB2312" w:cs="仿宋_GB2312"/>
          <w:color w:val="000000"/>
          <w:sz w:val="32"/>
          <w:szCs w:val="32"/>
          <w:lang w:eastAsia="zh-CN"/>
        </w:rPr>
        <w:t>份，</w:t>
      </w:r>
      <w:r>
        <w:rPr>
          <w:rFonts w:hint="eastAsia" w:ascii="Times New Roman" w:hAnsi="Times New Roman" w:eastAsia="仿宋_GB2312" w:cs="Times New Roman"/>
          <w:color w:val="000000"/>
          <w:sz w:val="32"/>
          <w:szCs w:val="32"/>
          <w:u w:val="none"/>
          <w:lang w:val="en-US" w:eastAsia="zh-CN"/>
        </w:rPr>
        <w:t>一</w:t>
      </w:r>
      <w:r>
        <w:rPr>
          <w:rFonts w:hint="eastAsia" w:ascii="仿宋_GB2312" w:eastAsia="仿宋_GB2312" w:cs="仿宋_GB2312"/>
          <w:color w:val="000000"/>
          <w:sz w:val="32"/>
          <w:szCs w:val="32"/>
          <w:lang w:eastAsia="zh-CN"/>
        </w:rPr>
        <w:t>份送达，一份归档。</w:t>
      </w:r>
    </w:p>
    <w:sectPr>
      <w:headerReference r:id="rId5" w:type="default"/>
      <w:footerReference r:id="rId6" w:type="default"/>
      <w:pgSz w:w="11906" w:h="16838"/>
      <w:pgMar w:top="1247" w:right="1587" w:bottom="1247" w:left="1587" w:header="0" w:footer="930" w:gutter="0"/>
      <w:pgNumType w:fmt="decimal"/>
      <w:cols w:space="72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2C72C">
    <w:pPr>
      <w:widowControl/>
      <w:kinsoku w:val="0"/>
      <w:wordWrap/>
      <w:autoSpaceDE w:val="0"/>
      <w:autoSpaceDN w:val="0"/>
      <w:adjustRightInd w:val="0"/>
      <w:snapToGrid w:val="0"/>
      <w:spacing w:line="560" w:lineRule="exact"/>
      <w:ind w:left="0" w:leftChars="0" w:right="0" w:firstLine="0" w:firstLineChars="0"/>
      <w:jc w:val="left"/>
      <w:textAlignment w:val="baseline"/>
      <w:outlineLvl w:val="9"/>
    </w:pPr>
    <w:r>
      <w:rPr>
        <w:rFonts w:ascii="Arial" w:hAnsi="Arial" w:eastAsia="Arial" w:cs="Arial"/>
        <w:snapToGrid w:val="0"/>
        <w:color w:val="000000"/>
        <w:kern w:val="0"/>
        <w:sz w:val="21"/>
        <w:szCs w:val="21"/>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60325</wp:posOffset>
              </wp:positionV>
              <wp:extent cx="1524000"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24000" cy="208915"/>
                      </a:xfrm>
                      <a:prstGeom prst="rect">
                        <a:avLst/>
                      </a:prstGeom>
                      <a:noFill/>
                      <a:ln>
                        <a:noFill/>
                      </a:ln>
                    </wps:spPr>
                    <wps:txbx>
                      <w:txbxContent>
                        <w:p w14:paraId="4BADBC48">
                          <w:pPr>
                            <w:snapToGrid w:val="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 xml:space="preserve">第 </w:t>
                          </w:r>
                          <w:r>
                            <w:rPr>
                              <w:rFonts w:hint="eastAsia" w:ascii="仿宋_GB2312" w:hAnsi="仿宋_GB2312" w:eastAsia="仿宋_GB2312" w:cs="仿宋_GB2312"/>
                              <w:sz w:val="21"/>
                              <w:szCs w:val="21"/>
                              <w:lang w:eastAsia="zh-CN"/>
                            </w:rPr>
                            <w:fldChar w:fldCharType="begin"/>
                          </w:r>
                          <w:r>
                            <w:rPr>
                              <w:rFonts w:hint="eastAsia" w:ascii="仿宋_GB2312" w:hAnsi="仿宋_GB2312" w:eastAsia="仿宋_GB2312" w:cs="仿宋_GB2312"/>
                              <w:sz w:val="21"/>
                              <w:szCs w:val="21"/>
                              <w:lang w:eastAsia="zh-CN"/>
                            </w:rPr>
                            <w:instrText xml:space="preserve"> PAGE  \* MERGEFORMAT </w:instrText>
                          </w:r>
                          <w:r>
                            <w:rPr>
                              <w:rFonts w:hint="eastAsia" w:ascii="仿宋_GB2312" w:hAnsi="仿宋_GB2312" w:eastAsia="仿宋_GB2312" w:cs="仿宋_GB2312"/>
                              <w:sz w:val="21"/>
                              <w:szCs w:val="21"/>
                              <w:lang w:eastAsia="zh-CN"/>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lang w:eastAsia="zh-CN"/>
                            </w:rPr>
                            <w:fldChar w:fldCharType="end"/>
                          </w:r>
                          <w:r>
                            <w:rPr>
                              <w:rFonts w:hint="eastAsia" w:ascii="仿宋_GB2312" w:hAnsi="仿宋_GB2312" w:eastAsia="仿宋_GB2312" w:cs="仿宋_GB2312"/>
                              <w:sz w:val="21"/>
                              <w:szCs w:val="21"/>
                              <w:lang w:eastAsia="zh-CN"/>
                            </w:rPr>
                            <w:t xml:space="preserve"> 页 共 </w:t>
                          </w:r>
                          <w:r>
                            <w:rPr>
                              <w:rFonts w:hint="eastAsia" w:ascii="仿宋_GB2312" w:hAnsi="仿宋_GB2312" w:eastAsia="仿宋_GB2312" w:cs="仿宋_GB2312"/>
                              <w:sz w:val="21"/>
                              <w:szCs w:val="21"/>
                              <w:lang w:eastAsia="zh-CN"/>
                            </w:rPr>
                            <w:fldChar w:fldCharType="begin"/>
                          </w:r>
                          <w:r>
                            <w:rPr>
                              <w:rFonts w:hint="eastAsia" w:ascii="仿宋_GB2312" w:hAnsi="仿宋_GB2312" w:eastAsia="仿宋_GB2312" w:cs="仿宋_GB2312"/>
                              <w:sz w:val="21"/>
                              <w:szCs w:val="21"/>
                              <w:lang w:eastAsia="zh-CN"/>
                            </w:rPr>
                            <w:instrText xml:space="preserve"> NUMPAGES  \* MERGEFORMAT </w:instrText>
                          </w:r>
                          <w:r>
                            <w:rPr>
                              <w:rFonts w:hint="eastAsia" w:ascii="仿宋_GB2312" w:hAnsi="仿宋_GB2312" w:eastAsia="仿宋_GB2312" w:cs="仿宋_GB2312"/>
                              <w:sz w:val="21"/>
                              <w:szCs w:val="21"/>
                              <w:lang w:eastAsia="zh-CN"/>
                            </w:rPr>
                            <w:fldChar w:fldCharType="separate"/>
                          </w:r>
                          <w:r>
                            <w:rPr>
                              <w:rFonts w:hint="eastAsia" w:ascii="仿宋_GB2312" w:hAnsi="仿宋_GB2312" w:eastAsia="仿宋_GB2312" w:cs="仿宋_GB2312"/>
                              <w:sz w:val="21"/>
                              <w:szCs w:val="21"/>
                              <w:lang w:eastAsia="zh-CN"/>
                            </w:rPr>
                            <w:t>2</w:t>
                          </w:r>
                          <w:r>
                            <w:rPr>
                              <w:rFonts w:hint="eastAsia" w:ascii="仿宋_GB2312" w:hAnsi="仿宋_GB2312" w:eastAsia="仿宋_GB2312" w:cs="仿宋_GB2312"/>
                              <w:sz w:val="21"/>
                              <w:szCs w:val="21"/>
                              <w:lang w:eastAsia="zh-CN"/>
                            </w:rPr>
                            <w:fldChar w:fldCharType="end"/>
                          </w:r>
                          <w:r>
                            <w:rPr>
                              <w:rFonts w:hint="eastAsia" w:ascii="仿宋_GB2312" w:hAnsi="仿宋_GB2312" w:eastAsia="仿宋_GB2312" w:cs="仿宋_GB2312"/>
                              <w:sz w:val="21"/>
                              <w:szCs w:val="21"/>
                              <w:lang w:eastAsia="zh-CN"/>
                            </w:rPr>
                            <w:t xml:space="preserve"> 页</w:t>
                          </w:r>
                        </w:p>
                      </w:txbxContent>
                    </wps:txbx>
                    <wps:bodyPr lIns="0" tIns="0" rIns="0" bIns="0" upright="0"/>
                  </wps:wsp>
                </a:graphicData>
              </a:graphic>
            </wp:anchor>
          </w:drawing>
        </mc:Choice>
        <mc:Fallback>
          <w:pict>
            <v:shape id="_x0000_s1026" o:spid="_x0000_s1026" o:spt="202" type="#_x0000_t202" style="position:absolute;left:0pt;margin-top:4.75pt;height:16.45pt;width:120pt;mso-position-horizontal:center;mso-position-horizontal-relative:margin;z-index:251659264;mso-width-relative:page;mso-height-relative:page;" filled="f" stroked="f" coordsize="21600,21600" o:gfxdata="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GMh9j1AAAAAUBAAAPAAAAAAAAAAEAIAAAACIAAABkcnMvZG93bnJldi54bWxQSwECFAAUAAAA&#10;CACHTuJA6hc6ZrkBAAByAwAADgAAAAAAAAABACAAAAAjAQAAZHJzL2Uyb0RvYy54bWxQSwUGAAAA&#10;AAYABgBZAQAATgUAAAAA&#10;">
              <v:fill on="f" focussize="0,0"/>
              <v:stroke on="f"/>
              <v:imagedata o:title=""/>
              <o:lock v:ext="edit" aspectratio="f"/>
              <v:textbox inset="0mm,0mm,0mm,0mm">
                <w:txbxContent>
                  <w:p w14:paraId="4BADBC48">
                    <w:pPr>
                      <w:snapToGrid w:val="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 xml:space="preserve">第 </w:t>
                    </w:r>
                    <w:r>
                      <w:rPr>
                        <w:rFonts w:hint="eastAsia" w:ascii="仿宋_GB2312" w:hAnsi="仿宋_GB2312" w:eastAsia="仿宋_GB2312" w:cs="仿宋_GB2312"/>
                        <w:sz w:val="21"/>
                        <w:szCs w:val="21"/>
                        <w:lang w:eastAsia="zh-CN"/>
                      </w:rPr>
                      <w:fldChar w:fldCharType="begin"/>
                    </w:r>
                    <w:r>
                      <w:rPr>
                        <w:rFonts w:hint="eastAsia" w:ascii="仿宋_GB2312" w:hAnsi="仿宋_GB2312" w:eastAsia="仿宋_GB2312" w:cs="仿宋_GB2312"/>
                        <w:sz w:val="21"/>
                        <w:szCs w:val="21"/>
                        <w:lang w:eastAsia="zh-CN"/>
                      </w:rPr>
                      <w:instrText xml:space="preserve"> PAGE  \* MERGEFORMAT </w:instrText>
                    </w:r>
                    <w:r>
                      <w:rPr>
                        <w:rFonts w:hint="eastAsia" w:ascii="仿宋_GB2312" w:hAnsi="仿宋_GB2312" w:eastAsia="仿宋_GB2312" w:cs="仿宋_GB2312"/>
                        <w:sz w:val="21"/>
                        <w:szCs w:val="21"/>
                        <w:lang w:eastAsia="zh-CN"/>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lang w:eastAsia="zh-CN"/>
                      </w:rPr>
                      <w:fldChar w:fldCharType="end"/>
                    </w:r>
                    <w:r>
                      <w:rPr>
                        <w:rFonts w:hint="eastAsia" w:ascii="仿宋_GB2312" w:hAnsi="仿宋_GB2312" w:eastAsia="仿宋_GB2312" w:cs="仿宋_GB2312"/>
                        <w:sz w:val="21"/>
                        <w:szCs w:val="21"/>
                        <w:lang w:eastAsia="zh-CN"/>
                      </w:rPr>
                      <w:t xml:space="preserve"> 页 共 </w:t>
                    </w:r>
                    <w:r>
                      <w:rPr>
                        <w:rFonts w:hint="eastAsia" w:ascii="仿宋_GB2312" w:hAnsi="仿宋_GB2312" w:eastAsia="仿宋_GB2312" w:cs="仿宋_GB2312"/>
                        <w:sz w:val="21"/>
                        <w:szCs w:val="21"/>
                        <w:lang w:eastAsia="zh-CN"/>
                      </w:rPr>
                      <w:fldChar w:fldCharType="begin"/>
                    </w:r>
                    <w:r>
                      <w:rPr>
                        <w:rFonts w:hint="eastAsia" w:ascii="仿宋_GB2312" w:hAnsi="仿宋_GB2312" w:eastAsia="仿宋_GB2312" w:cs="仿宋_GB2312"/>
                        <w:sz w:val="21"/>
                        <w:szCs w:val="21"/>
                        <w:lang w:eastAsia="zh-CN"/>
                      </w:rPr>
                      <w:instrText xml:space="preserve"> NUMPAGES  \* MERGEFORMAT </w:instrText>
                    </w:r>
                    <w:r>
                      <w:rPr>
                        <w:rFonts w:hint="eastAsia" w:ascii="仿宋_GB2312" w:hAnsi="仿宋_GB2312" w:eastAsia="仿宋_GB2312" w:cs="仿宋_GB2312"/>
                        <w:sz w:val="21"/>
                        <w:szCs w:val="21"/>
                        <w:lang w:eastAsia="zh-CN"/>
                      </w:rPr>
                      <w:fldChar w:fldCharType="separate"/>
                    </w:r>
                    <w:r>
                      <w:rPr>
                        <w:rFonts w:hint="eastAsia" w:ascii="仿宋_GB2312" w:hAnsi="仿宋_GB2312" w:eastAsia="仿宋_GB2312" w:cs="仿宋_GB2312"/>
                        <w:sz w:val="21"/>
                        <w:szCs w:val="21"/>
                        <w:lang w:eastAsia="zh-CN"/>
                      </w:rPr>
                      <w:t>2</w:t>
                    </w:r>
                    <w:r>
                      <w:rPr>
                        <w:rFonts w:hint="eastAsia" w:ascii="仿宋_GB2312" w:hAnsi="仿宋_GB2312" w:eastAsia="仿宋_GB2312" w:cs="仿宋_GB2312"/>
                        <w:sz w:val="21"/>
                        <w:szCs w:val="21"/>
                        <w:lang w:eastAsia="zh-CN"/>
                      </w:rPr>
                      <w:fldChar w:fldCharType="end"/>
                    </w:r>
                    <w:r>
                      <w:rPr>
                        <w:rFonts w:hint="eastAsia" w:ascii="仿宋_GB2312" w:hAnsi="仿宋_GB2312" w:eastAsia="仿宋_GB2312" w:cs="仿宋_GB2312"/>
                        <w:sz w:val="21"/>
                        <w:szCs w:val="21"/>
                        <w:lang w:eastAsia="zh-CN"/>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DCBC5">
    <w:pPr>
      <w:spacing w:line="14" w:lineRule="auto"/>
      <w:rPr>
        <w:rFonts w:ascii="Malgun Gothic"/>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HorizontalSpacing w:val="210"/>
  <w:drawingGridVerticalSpacing w:val="-794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kMzJkYTJjOTEwZDFmZjkzNGQzN2E3ZWI3ODNjZGUifQ=="/>
  </w:docVars>
  <w:rsids>
    <w:rsidRoot w:val="00172A27"/>
    <w:rsid w:val="000942B7"/>
    <w:rsid w:val="012F2049"/>
    <w:rsid w:val="016347D7"/>
    <w:rsid w:val="01885BB3"/>
    <w:rsid w:val="01BA49CF"/>
    <w:rsid w:val="025B1243"/>
    <w:rsid w:val="032D650E"/>
    <w:rsid w:val="03CD51B9"/>
    <w:rsid w:val="03E92355"/>
    <w:rsid w:val="03F57016"/>
    <w:rsid w:val="04636965"/>
    <w:rsid w:val="058013F8"/>
    <w:rsid w:val="05E534BC"/>
    <w:rsid w:val="068368A8"/>
    <w:rsid w:val="07187AC2"/>
    <w:rsid w:val="07560679"/>
    <w:rsid w:val="07FC6E1F"/>
    <w:rsid w:val="080D4B60"/>
    <w:rsid w:val="09BA21CC"/>
    <w:rsid w:val="09C65355"/>
    <w:rsid w:val="09E366F4"/>
    <w:rsid w:val="0A023571"/>
    <w:rsid w:val="0A1B2BE5"/>
    <w:rsid w:val="0A883DAB"/>
    <w:rsid w:val="0B470389"/>
    <w:rsid w:val="0B660046"/>
    <w:rsid w:val="0BB24C22"/>
    <w:rsid w:val="0C29277A"/>
    <w:rsid w:val="0C350AD1"/>
    <w:rsid w:val="0C684A5B"/>
    <w:rsid w:val="0C8D09A7"/>
    <w:rsid w:val="0CE67036"/>
    <w:rsid w:val="0D026945"/>
    <w:rsid w:val="0E5D49FE"/>
    <w:rsid w:val="0E6B31A6"/>
    <w:rsid w:val="0ECD0ABC"/>
    <w:rsid w:val="0F1175EE"/>
    <w:rsid w:val="0F1D227D"/>
    <w:rsid w:val="109804B1"/>
    <w:rsid w:val="10EE7D52"/>
    <w:rsid w:val="110F5774"/>
    <w:rsid w:val="1139142B"/>
    <w:rsid w:val="115433FE"/>
    <w:rsid w:val="117561FC"/>
    <w:rsid w:val="11E048F7"/>
    <w:rsid w:val="12B14FE2"/>
    <w:rsid w:val="131001D5"/>
    <w:rsid w:val="14BD26F1"/>
    <w:rsid w:val="152A0C39"/>
    <w:rsid w:val="155B5497"/>
    <w:rsid w:val="15B91E83"/>
    <w:rsid w:val="15C24FDC"/>
    <w:rsid w:val="16220FB0"/>
    <w:rsid w:val="162E2639"/>
    <w:rsid w:val="16A11315"/>
    <w:rsid w:val="17A32A46"/>
    <w:rsid w:val="19A55C3A"/>
    <w:rsid w:val="1A0A118E"/>
    <w:rsid w:val="1A4446E9"/>
    <w:rsid w:val="1A524C3A"/>
    <w:rsid w:val="1B9C17AD"/>
    <w:rsid w:val="1BBA43D7"/>
    <w:rsid w:val="1C6D56C9"/>
    <w:rsid w:val="1DAE6E1D"/>
    <w:rsid w:val="1DDD4282"/>
    <w:rsid w:val="1E0008A6"/>
    <w:rsid w:val="1EA26F4C"/>
    <w:rsid w:val="1ECD42C4"/>
    <w:rsid w:val="1F89098F"/>
    <w:rsid w:val="206967F2"/>
    <w:rsid w:val="20D9162C"/>
    <w:rsid w:val="21293D97"/>
    <w:rsid w:val="213A3C94"/>
    <w:rsid w:val="22043500"/>
    <w:rsid w:val="227B457F"/>
    <w:rsid w:val="23012016"/>
    <w:rsid w:val="23256DAA"/>
    <w:rsid w:val="24226165"/>
    <w:rsid w:val="25342BE4"/>
    <w:rsid w:val="263823D4"/>
    <w:rsid w:val="282B60D9"/>
    <w:rsid w:val="28EF377B"/>
    <w:rsid w:val="2A816856"/>
    <w:rsid w:val="2AF61758"/>
    <w:rsid w:val="2B0D1D89"/>
    <w:rsid w:val="2BAE02EF"/>
    <w:rsid w:val="2D28743E"/>
    <w:rsid w:val="2D703A18"/>
    <w:rsid w:val="2E167879"/>
    <w:rsid w:val="2EC81C5B"/>
    <w:rsid w:val="2F434220"/>
    <w:rsid w:val="2F8D1F5F"/>
    <w:rsid w:val="30025436"/>
    <w:rsid w:val="30140D71"/>
    <w:rsid w:val="30FB0A81"/>
    <w:rsid w:val="31E4268D"/>
    <w:rsid w:val="32156BF2"/>
    <w:rsid w:val="326B3788"/>
    <w:rsid w:val="32DB28B2"/>
    <w:rsid w:val="32F0381B"/>
    <w:rsid w:val="34BF5DB0"/>
    <w:rsid w:val="35066A3B"/>
    <w:rsid w:val="358D4217"/>
    <w:rsid w:val="35DD41CD"/>
    <w:rsid w:val="36392518"/>
    <w:rsid w:val="370F76FD"/>
    <w:rsid w:val="380F4FE6"/>
    <w:rsid w:val="39451113"/>
    <w:rsid w:val="394F2215"/>
    <w:rsid w:val="39557091"/>
    <w:rsid w:val="39E11761"/>
    <w:rsid w:val="3A3419A5"/>
    <w:rsid w:val="3A7A647F"/>
    <w:rsid w:val="3ACB5733"/>
    <w:rsid w:val="3B2503D0"/>
    <w:rsid w:val="3B712945"/>
    <w:rsid w:val="3BF011C2"/>
    <w:rsid w:val="3D2A017E"/>
    <w:rsid w:val="3D8C217E"/>
    <w:rsid w:val="3DAA2BDE"/>
    <w:rsid w:val="3DD73CDA"/>
    <w:rsid w:val="3EC24005"/>
    <w:rsid w:val="3ECC1E3C"/>
    <w:rsid w:val="3F62246A"/>
    <w:rsid w:val="4013081A"/>
    <w:rsid w:val="40C45C61"/>
    <w:rsid w:val="40C95FA7"/>
    <w:rsid w:val="411F0E08"/>
    <w:rsid w:val="4178048C"/>
    <w:rsid w:val="419E6B0D"/>
    <w:rsid w:val="422C131F"/>
    <w:rsid w:val="42A328F3"/>
    <w:rsid w:val="42AD6606"/>
    <w:rsid w:val="42F223AD"/>
    <w:rsid w:val="436E49D5"/>
    <w:rsid w:val="43727992"/>
    <w:rsid w:val="4373766C"/>
    <w:rsid w:val="44666240"/>
    <w:rsid w:val="45C53801"/>
    <w:rsid w:val="463F2A4E"/>
    <w:rsid w:val="46B439B7"/>
    <w:rsid w:val="46CC4E60"/>
    <w:rsid w:val="46EB2B66"/>
    <w:rsid w:val="471548BC"/>
    <w:rsid w:val="483B7D89"/>
    <w:rsid w:val="48E847AE"/>
    <w:rsid w:val="495A0CAC"/>
    <w:rsid w:val="49C51C36"/>
    <w:rsid w:val="4A282339"/>
    <w:rsid w:val="4AA60F74"/>
    <w:rsid w:val="4B0C26C1"/>
    <w:rsid w:val="4B483486"/>
    <w:rsid w:val="4B5D2CD5"/>
    <w:rsid w:val="4C841FAE"/>
    <w:rsid w:val="4CAB0CDE"/>
    <w:rsid w:val="4D9072F9"/>
    <w:rsid w:val="4EEE14ED"/>
    <w:rsid w:val="5168721D"/>
    <w:rsid w:val="517E7D2F"/>
    <w:rsid w:val="52030AD2"/>
    <w:rsid w:val="533B51A1"/>
    <w:rsid w:val="53F63AFE"/>
    <w:rsid w:val="541C08A5"/>
    <w:rsid w:val="549D6B60"/>
    <w:rsid w:val="565A74F0"/>
    <w:rsid w:val="56AB3EA2"/>
    <w:rsid w:val="57141922"/>
    <w:rsid w:val="57415041"/>
    <w:rsid w:val="57F731DF"/>
    <w:rsid w:val="587460B6"/>
    <w:rsid w:val="58AE6A66"/>
    <w:rsid w:val="58B469F6"/>
    <w:rsid w:val="58F71674"/>
    <w:rsid w:val="5A560F28"/>
    <w:rsid w:val="5A781F79"/>
    <w:rsid w:val="5B115CC2"/>
    <w:rsid w:val="5B2C4F33"/>
    <w:rsid w:val="5B827BC6"/>
    <w:rsid w:val="5B855486"/>
    <w:rsid w:val="5BA8414C"/>
    <w:rsid w:val="5C4862C0"/>
    <w:rsid w:val="5C5559EE"/>
    <w:rsid w:val="5C960E36"/>
    <w:rsid w:val="5CC948B6"/>
    <w:rsid w:val="5D4A1E73"/>
    <w:rsid w:val="5D940417"/>
    <w:rsid w:val="5F3F6CDA"/>
    <w:rsid w:val="5F9C05FF"/>
    <w:rsid w:val="5FF23FC9"/>
    <w:rsid w:val="60152297"/>
    <w:rsid w:val="60E02B19"/>
    <w:rsid w:val="614119B8"/>
    <w:rsid w:val="6165448C"/>
    <w:rsid w:val="62A51328"/>
    <w:rsid w:val="62A81C50"/>
    <w:rsid w:val="633A597E"/>
    <w:rsid w:val="64010DF0"/>
    <w:rsid w:val="64664AA2"/>
    <w:rsid w:val="6494772F"/>
    <w:rsid w:val="64AF38BD"/>
    <w:rsid w:val="64EB3602"/>
    <w:rsid w:val="66154481"/>
    <w:rsid w:val="663866E1"/>
    <w:rsid w:val="66410B68"/>
    <w:rsid w:val="66A212A4"/>
    <w:rsid w:val="68F75A57"/>
    <w:rsid w:val="69DF4B0C"/>
    <w:rsid w:val="6A5D6046"/>
    <w:rsid w:val="6B24348C"/>
    <w:rsid w:val="6D810098"/>
    <w:rsid w:val="6D836A6F"/>
    <w:rsid w:val="6DC03446"/>
    <w:rsid w:val="6EA32EB3"/>
    <w:rsid w:val="6F4F68E3"/>
    <w:rsid w:val="6FFC3AA1"/>
    <w:rsid w:val="710A1518"/>
    <w:rsid w:val="719706FE"/>
    <w:rsid w:val="72190E55"/>
    <w:rsid w:val="73F37FB8"/>
    <w:rsid w:val="74061F79"/>
    <w:rsid w:val="740673FC"/>
    <w:rsid w:val="742E2A8B"/>
    <w:rsid w:val="76410ED3"/>
    <w:rsid w:val="76B132EF"/>
    <w:rsid w:val="76F507BA"/>
    <w:rsid w:val="7707786F"/>
    <w:rsid w:val="779A3DE9"/>
    <w:rsid w:val="78D81759"/>
    <w:rsid w:val="7C7E00C1"/>
    <w:rsid w:val="7C900B38"/>
    <w:rsid w:val="7CB8338F"/>
    <w:rsid w:val="7DCC0558"/>
    <w:rsid w:val="7DEA3FC2"/>
    <w:rsid w:val="7E174D59"/>
    <w:rsid w:val="7EB006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pPr>
      <w:widowControl/>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p0"/>
    <w:basedOn w:val="1"/>
    <w:qFormat/>
    <w:uiPriority w:val="0"/>
    <w:pPr>
      <w:widowControl/>
      <w:spacing w:before="0" w:beforeAutospacing="0" w:after="0" w:afterAutospacing="0"/>
      <w:ind w:left="0" w:right="0"/>
      <w:jc w:val="both"/>
    </w:pPr>
    <w:rPr>
      <w:rFonts w:hint="default" w:ascii="Calibri" w:hAnsi="Calibri" w:eastAsia="宋体" w:cs="宋体"/>
      <w:kern w:val="0"/>
      <w:sz w:val="21"/>
      <w:szCs w:val="21"/>
      <w:lang w:val="en-US" w:eastAsia="zh-CN" w:bidi="ar-SA"/>
    </w:rPr>
  </w:style>
  <w:style w:type="table" w:customStyle="1" w:styleId="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1578</Words>
  <Characters>1713</Characters>
  <Lines>0</Lines>
  <Paragraphs>0</Paragraphs>
  <TotalTime>5</TotalTime>
  <ScaleCrop>false</ScaleCrop>
  <LinksUpToDate>false</LinksUpToDate>
  <CharactersWithSpaces>1863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2021-07-22T01:01:00Z</dcterms:created>
  <dc:creator>Administrator</dc:creator>
  <cp:lastModifiedBy>期待第十五个观点</cp:lastModifiedBy>
  <cp:lastPrinted>2026-06-18T01:26:04Z</cp:lastPrinted>
  <dcterms:modified xsi:type="dcterms:W3CDTF">2026-06-18T01:27:02Z</dcterms:modified>
  <dc:title>安溪县市场监督管理局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E451C0873223408E89C8BB12EC354A71_13</vt:lpwstr>
  </property>
  <property fmtid="{D5CDD505-2E9C-101B-9397-08002B2CF9AE}" pid="4" name="KSOTemplateDocerSaveRecord">
    <vt:lpwstr>eyJoZGlkIjoiMzhhMmY2OTcwMzBlOGMzNTM5MDk1MzNmNDVmNTI0YjQiLCJ1c2VySWQiOiIxNDMzMTY3NjU3In0=</vt:lpwstr>
  </property>
</Properties>
</file>