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9CAB0">
      <w:pPr>
        <w:pStyle w:val="8"/>
        <w:widowControl/>
        <w:spacing w:line="640" w:lineRule="exact"/>
        <w:jc w:val="center"/>
        <w:rPr>
          <w:rFonts w:hint="default" w:ascii="Times New Roman" w:hAnsi="Times New Roman" w:cs="Times New Roman"/>
          <w:color w:val="000000"/>
          <w:sz w:val="44"/>
          <w:szCs w:val="44"/>
          <w:lang w:val="en-US"/>
        </w:rPr>
      </w:pPr>
      <w:r>
        <w:rPr>
          <w:rFonts w:hint="eastAsia" w:ascii="方正小标宋简体" w:hAnsi="方正小标宋简体" w:eastAsia="方正小标宋简体" w:cs="方正小标宋简体"/>
          <w:color w:val="000000"/>
          <w:sz w:val="44"/>
          <w:szCs w:val="44"/>
          <w:lang w:eastAsia="zh-CN"/>
        </w:rPr>
        <w:t>安溪县市场监督管理局</w:t>
      </w:r>
    </w:p>
    <w:p w14:paraId="7A4A0C8B">
      <w:pPr>
        <w:pStyle w:val="8"/>
        <w:widowControl/>
        <w:spacing w:line="640" w:lineRule="exact"/>
        <w:jc w:val="center"/>
        <w:rPr>
          <w:rFonts w:hint="default" w:ascii="Times New Roman" w:hAnsi="Times New Roman" w:cs="Times New Roman"/>
          <w:color w:val="000000"/>
          <w:sz w:val="44"/>
          <w:szCs w:val="44"/>
          <w:lang w:val="en-US"/>
        </w:rPr>
      </w:pPr>
      <w:r>
        <w:rPr>
          <w:rFonts w:hint="eastAsia" w:ascii="方正小标宋简体" w:hAnsi="方正小标宋简体" w:eastAsia="方正小标宋简体" w:cs="方正小标宋简体"/>
          <w:color w:val="000000"/>
          <w:sz w:val="44"/>
          <w:szCs w:val="44"/>
          <w:lang w:eastAsia="zh-CN"/>
        </w:rPr>
        <w:t>行政处罚决定书</w:t>
      </w:r>
    </w:p>
    <w:p w14:paraId="489CD5C0">
      <w:pPr>
        <w:pStyle w:val="8"/>
        <w:widowControl/>
        <w:wordWrap w:val="0"/>
        <w:snapToGrid w:val="0"/>
        <w:spacing w:before="312" w:beforeLines="100" w:beforeAutospacing="0" w:after="312" w:afterLines="100" w:afterAutospacing="0" w:line="520" w:lineRule="atLeast"/>
        <w:ind w:left="0" w:right="0"/>
        <w:jc w:val="center"/>
        <w:rPr>
          <w:rFonts w:hint="eastAsia" w:ascii="仿宋_GB2312" w:hAnsi="Times New Roman" w:eastAsia="仿宋_GB2312" w:cs="Times New Roman"/>
          <w:color w:val="auto"/>
          <w:sz w:val="32"/>
          <w:szCs w:val="32"/>
          <w:lang w:val="en-US"/>
        </w:rPr>
      </w:pPr>
      <w:r>
        <w:rPr>
          <w:rFonts w:hint="eastAsia" w:ascii="仿宋_GB2312" w:hAnsi="Times New Roman" w:eastAsia="仿宋_GB2312" w:cs="Times New Roman"/>
          <w:color w:val="auto"/>
          <w:sz w:val="32"/>
          <w:szCs w:val="32"/>
          <w:lang w:eastAsia="zh-CN"/>
        </w:rPr>
        <w:t>安</w:t>
      </w:r>
      <w:r>
        <w:rPr>
          <w:rFonts w:hint="eastAsia" w:ascii="仿宋_GB2312" w:eastAsia="仿宋_GB2312" w:cs="仿宋_GB2312"/>
          <w:color w:val="auto"/>
          <w:sz w:val="32"/>
          <w:szCs w:val="32"/>
          <w:lang w:eastAsia="zh-CN"/>
        </w:rPr>
        <w:t>市监处罚〔</w:t>
      </w:r>
      <w:r>
        <w:rPr>
          <w:rFonts w:hint="eastAsia" w:ascii="仿宋_GB2312" w:hAnsi="Times New Roman" w:eastAsia="仿宋_GB2312" w:cs="Times New Roman"/>
          <w:color w:val="auto"/>
          <w:sz w:val="32"/>
          <w:szCs w:val="32"/>
          <w:u w:val="none"/>
          <w:lang w:val="en-US" w:eastAsia="zh-CN"/>
        </w:rPr>
        <w:t>2026</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lang w:val="en-US" w:eastAsia="zh-CN"/>
        </w:rPr>
        <w:t>86-2</w:t>
      </w:r>
      <w:r>
        <w:rPr>
          <w:rFonts w:hint="eastAsia" w:ascii="仿宋_GB2312" w:eastAsia="仿宋_GB2312" w:cs="仿宋_GB2312"/>
          <w:color w:val="auto"/>
          <w:sz w:val="32"/>
          <w:szCs w:val="32"/>
          <w:lang w:eastAsia="zh-CN"/>
        </w:rPr>
        <w:t>号</w:t>
      </w:r>
    </w:p>
    <w:p w14:paraId="017B92AD">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hAnsi="仿宋_GB2312" w:eastAsia="仿宋_GB2312" w:cs="仿宋_GB2312"/>
          <w:sz w:val="32"/>
          <w:szCs w:val="32"/>
          <w:u w:val="none"/>
          <w:lang w:eastAsia="zh-CN"/>
        </w:rPr>
      </w:pPr>
      <w:r>
        <w:rPr>
          <w:rFonts w:hint="eastAsia" w:ascii="仿宋_GB2312" w:eastAsia="仿宋_GB2312" w:cs="仿宋_GB2312"/>
          <w:sz w:val="32"/>
          <w:szCs w:val="32"/>
          <w:lang w:eastAsia="zh-CN"/>
        </w:rPr>
        <w:t>当事人：安溪县剑斗黄朝业棋牌室</w:t>
      </w:r>
    </w:p>
    <w:p w14:paraId="158B1C42">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主体资格证照名称：</w:t>
      </w:r>
      <w:r>
        <w:rPr>
          <w:rFonts w:hint="eastAsia" w:ascii="仿宋_GB2312" w:hAnsi="仿宋_GB2312" w:eastAsia="仿宋_GB2312" w:cs="仿宋_GB2312"/>
          <w:sz w:val="32"/>
          <w:szCs w:val="32"/>
          <w:u w:val="none"/>
          <w:lang w:eastAsia="zh-CN"/>
        </w:rPr>
        <w:t>营业执照</w:t>
      </w:r>
      <w:r>
        <w:rPr>
          <w:rFonts w:hint="eastAsia" w:ascii="仿宋_GB2312" w:eastAsia="仿宋_GB2312" w:cs="仿宋_GB2312"/>
          <w:sz w:val="32"/>
          <w:szCs w:val="32"/>
          <w:lang w:val="en-US" w:eastAsia="zh-CN"/>
        </w:rPr>
        <w:t xml:space="preserve">                                  </w:t>
      </w:r>
    </w:p>
    <w:p w14:paraId="2153F31E">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统一社会信用代码：91350524MA32TR8M7G</w:t>
      </w:r>
      <w:r>
        <w:rPr>
          <w:rFonts w:hint="eastAsia" w:ascii="仿宋_GB2312" w:eastAsia="仿宋_GB2312" w:cs="仿宋_GB2312"/>
          <w:sz w:val="32"/>
          <w:szCs w:val="32"/>
          <w:lang w:val="en-US" w:eastAsia="zh-CN"/>
        </w:rPr>
        <w:t xml:space="preserve">               </w:t>
      </w:r>
    </w:p>
    <w:p w14:paraId="1C68478B">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 xml:space="preserve">住所：福建省泉州市安溪县剑斗镇仙荣村中段2号15组                                </w:t>
      </w:r>
    </w:p>
    <w:p w14:paraId="3E03024B">
      <w:pPr>
        <w:pStyle w:val="8"/>
        <w:keepNext w:val="0"/>
        <w:keepLines w:val="0"/>
        <w:pageBreakBefore w:val="0"/>
        <w:widowControl/>
        <w:kinsoku w:val="0"/>
        <w:wordWrap/>
        <w:overflowPunct/>
        <w:autoSpaceDE w:val="0"/>
        <w:autoSpaceDN w:val="0"/>
        <w:bidi w:val="0"/>
        <w:spacing w:before="0" w:after="0" w:line="520" w:lineRule="exact"/>
        <w:ind w:left="0" w:leftChars="0" w:right="0" w:rightChars="0"/>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val="en-US" w:eastAsia="zh-CN"/>
        </w:rPr>
        <w:t>投资</w:t>
      </w:r>
      <w:r>
        <w:rPr>
          <w:rFonts w:hint="eastAsia" w:ascii="仿宋_GB2312" w:hAnsi="仿宋_GB2312" w:eastAsia="仿宋_GB2312" w:cs="仿宋_GB2312"/>
          <w:sz w:val="32"/>
          <w:szCs w:val="32"/>
          <w:u w:val="none"/>
          <w:lang w:eastAsia="zh-CN"/>
        </w:rPr>
        <w:t>人：</w:t>
      </w:r>
      <w:r>
        <w:rPr>
          <w:rFonts w:hint="eastAsia" w:ascii="仿宋_GB2312" w:hAnsi="仿宋_GB2312" w:eastAsia="仿宋_GB2312" w:cs="仿宋_GB2312"/>
          <w:sz w:val="32"/>
          <w:szCs w:val="32"/>
          <w:u w:val="none"/>
          <w:lang w:val="en-US" w:eastAsia="zh-CN"/>
        </w:rPr>
        <w:t>黄朝业</w:t>
      </w:r>
    </w:p>
    <w:p w14:paraId="75F1C758">
      <w:pPr>
        <w:pStyle w:val="8"/>
        <w:keepNext w:val="0"/>
        <w:keepLines w:val="0"/>
        <w:pageBreakBefore w:val="0"/>
        <w:widowControl/>
        <w:kinsoku w:val="0"/>
        <w:wordWrap/>
        <w:overflowPunct/>
        <w:topLinePunct w:val="0"/>
        <w:autoSpaceDE w:val="0"/>
        <w:autoSpaceDN w:val="0"/>
        <w:bidi w:val="0"/>
        <w:adjustRightInd w:val="0"/>
        <w:snapToGrid w:val="0"/>
        <w:spacing w:before="313" w:beforeLines="10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u w:val="none"/>
          <w:lang w:eastAsia="zh-CN"/>
        </w:rPr>
        <w:t>根据</w:t>
      </w:r>
      <w:r>
        <w:rPr>
          <w:rFonts w:hint="eastAsia" w:ascii="仿宋_GB2312" w:hAnsi="仿宋_GB2312" w:eastAsia="仿宋_GB2312" w:cs="仿宋_GB2312"/>
          <w:sz w:val="32"/>
          <w:szCs w:val="32"/>
          <w:u w:val="none"/>
          <w:lang w:val="en-US" w:eastAsia="zh-CN"/>
        </w:rPr>
        <w:t>2026年1月27日县局《关于核查和吊销连续2年未按规定报送年度报告企业的通知》，我局剑斗所对辖区连续2年未按规定报送年度报告的企业开展现场核查。经核查，</w:t>
      </w:r>
      <w:r>
        <w:rPr>
          <w:rFonts w:hint="eastAsia" w:ascii="仿宋_GB2312" w:hAnsi="仿宋_GB2312" w:eastAsia="仿宋_GB2312" w:cs="仿宋_GB2312"/>
          <w:sz w:val="32"/>
          <w:szCs w:val="32"/>
          <w:u w:val="none"/>
          <w:lang w:eastAsia="zh-CN"/>
        </w:rPr>
        <w:t>当事人连续</w:t>
      </w:r>
      <w:r>
        <w:rPr>
          <w:rFonts w:hint="eastAsia" w:ascii="仿宋_GB2312" w:hAnsi="仿宋_GB2312" w:eastAsia="仿宋_GB2312" w:cs="仿宋_GB2312"/>
          <w:sz w:val="32"/>
          <w:szCs w:val="32"/>
          <w:u w:val="none"/>
          <w:lang w:val="en-US" w:eastAsia="zh-CN"/>
        </w:rPr>
        <w:t>2年（2023年度和2024年度）未按规定报送年度报告被列入经营异常名录未改正，且通过登记的住所或者经营场所无法</w:t>
      </w:r>
      <w:r>
        <w:rPr>
          <w:rFonts w:hint="eastAsia" w:ascii="仿宋_GB2312" w:hAnsi="仿宋_GB2312" w:eastAsia="仿宋_GB2312" w:cs="仿宋_GB2312"/>
          <w:sz w:val="32"/>
          <w:szCs w:val="32"/>
          <w:u w:val="none"/>
          <w:lang w:eastAsia="zh-CN"/>
        </w:rPr>
        <w:t>取得联系。当事人涉嫌违反</w:t>
      </w:r>
      <w:r>
        <w:rPr>
          <w:rFonts w:hint="eastAsia" w:ascii="仿宋_GB2312" w:hAnsi="仿宋_GB2312" w:eastAsia="仿宋_GB2312" w:cs="仿宋_GB2312"/>
          <w:sz w:val="32"/>
          <w:szCs w:val="32"/>
          <w:u w:val="none"/>
          <w:lang w:val="en-US" w:eastAsia="zh-CN"/>
        </w:rPr>
        <w:t>《企业信息公示暂行条例》第八条第一款的规定，</w:t>
      </w:r>
      <w:r>
        <w:rPr>
          <w:rFonts w:hint="eastAsia" w:ascii="仿宋_GB2312" w:hAnsi="仿宋_GB2312" w:eastAsia="仿宋_GB2312" w:cs="仿宋_GB2312"/>
          <w:color w:val="000000"/>
          <w:sz w:val="32"/>
          <w:szCs w:val="32"/>
          <w:lang w:val="en-US" w:eastAsia="zh-CN"/>
        </w:rPr>
        <w:t xml:space="preserve">我局于2026年3月16日对当事人予以立案调查。                                                  </w:t>
      </w:r>
    </w:p>
    <w:p w14:paraId="44DE4597">
      <w:pPr>
        <w:pStyle w:val="8"/>
        <w:keepNext w:val="0"/>
        <w:keepLines w:val="0"/>
        <w:pageBreakBefore w:val="0"/>
        <w:widowControl/>
        <w:kinsoku w:val="0"/>
        <w:wordWrap/>
        <w:overflowPunct/>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经查明，</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连续两年（2023年度和2024年度）未报送年度报告，且已列入企业经营异常名录。截止至调查终结之日，当事人未移出经营异常名录。经我局执法人员现场核查，</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已不在原登记地址经营或联系不上。2026年3月26日，我局在安溪县人民政府网站发布《安溪县市场监督管理局关于拟吊销营业执照的公告》（2026年第一批）（http://www.fjax.gov.cn/zwgk/xwzx/tzgg/202603/t20260326_3278106.htm），要求当事人在公告之日起15日内向我局提供企业已依法开展经营活动的证据材料。至公告期满时，</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未向我局提供企业已依法开展经营活动的证据材料。</w:t>
      </w:r>
    </w:p>
    <w:p w14:paraId="69346B42">
      <w:pPr>
        <w:pStyle w:val="8"/>
        <w:keepNext w:val="0"/>
        <w:keepLines w:val="0"/>
        <w:pageBreakBefore w:val="0"/>
        <w:widowControl/>
        <w:kinsoku w:val="0"/>
        <w:wordWrap/>
        <w:overflowPunct/>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上述事实，主要有以下证据证明：</w:t>
      </w:r>
    </w:p>
    <w:p w14:paraId="0E7F0F29">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证据</w:t>
      </w:r>
      <w:r>
        <w:rPr>
          <w:rFonts w:hint="eastAsia" w:ascii="仿宋_GB2312" w:hAnsi="仿宋_GB2312" w:eastAsia="仿宋_GB2312" w:cs="仿宋_GB2312"/>
          <w:color w:val="auto"/>
          <w:sz w:val="32"/>
          <w:szCs w:val="32"/>
          <w:lang w:val="en-US" w:eastAsia="zh-CN"/>
        </w:rPr>
        <w:t>1：我局发布的《关于核查和吊销连续2年未按规定报送年度报告企业的通知》，证明案件来源；</w:t>
      </w:r>
    </w:p>
    <w:p w14:paraId="3328B10D">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证据2：泉州蓝畅贸易有限公司等2家企业现场核查情况汇总表和市场主体住所（经营场所）现场核查情况表，证明上述企业未在原企业登记地址从事生产经营活动且通过登记的住所或者经营场所无法取得联系的事实；</w:t>
      </w:r>
    </w:p>
    <w:p w14:paraId="485A50BD">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证据3：电子数据证据提存笔录1份和安溪县人民政府网站公告，证明我局依法定程序在安溪县人民政府门户网站发布公告；</w:t>
      </w:r>
    </w:p>
    <w:p w14:paraId="69A212D5">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证据4：电子数据证据提存笔录1份和泉州蓝畅贸易有限公司等2家企业在国家企业信用信息公示系统列入经营异常名录查询结果截图2张，证明当事人连续2年未按规定报送年度报告被列入经营异常名录未改正的事实。</w:t>
      </w:r>
    </w:p>
    <w:p w14:paraId="06DDE010">
      <w:pPr>
        <w:pStyle w:val="8"/>
        <w:keepNext w:val="0"/>
        <w:keepLines w:val="0"/>
        <w:pageBreakBefore w:val="0"/>
        <w:widowControl/>
        <w:kinsoku w:val="0"/>
        <w:wordWrap/>
        <w:overflowPunct/>
        <w:topLinePunct w:val="0"/>
        <w:autoSpaceDE w:val="0"/>
        <w:autoSpaceDN w:val="0"/>
        <w:bidi w:val="0"/>
        <w:adjustRightInd w:val="0"/>
        <w:snapToGrid w:val="0"/>
        <w:spacing w:before="0" w:after="0" w:line="520" w:lineRule="exact"/>
        <w:ind w:left="0" w:leftChars="0" w:right="0" w:rightChars="0" w:firstLine="640" w:firstLineChars="200"/>
        <w:jc w:val="left"/>
        <w:textAlignment w:val="baseline"/>
        <w:outlineLvl w:val="9"/>
        <w:rPr>
          <w:rFonts w:hint="eastAsia" w:ascii="仿宋_GB2312" w:hAnsi="Times New Roman" w:eastAsia="仿宋_GB2312" w:cs="Times New Roman"/>
          <w:color w:val="000000"/>
          <w:sz w:val="32"/>
          <w:szCs w:val="32"/>
          <w:u w:val="single"/>
          <w:lang w:val="en-US"/>
        </w:rPr>
      </w:pPr>
      <w:r>
        <w:rPr>
          <w:rFonts w:hint="eastAsia" w:ascii="仿宋_GB2312" w:hAnsi="仿宋_GB2312" w:eastAsia="仿宋_GB2312" w:cs="仿宋_GB2312"/>
          <w:color w:val="auto"/>
          <w:sz w:val="32"/>
          <w:szCs w:val="32"/>
        </w:rPr>
        <w:t>在案件调查结束后，我局于202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日依法向当事人送达了《行政处罚告知书》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安市监罚告〔202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JDS2</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，告知当事人拟对其作出的处罚决定</w:t>
      </w:r>
      <w:r>
        <w:rPr>
          <w:rFonts w:hint="eastAsia" w:ascii="仿宋_GB2312" w:hAnsi="仿宋_GB2312" w:eastAsia="仿宋_GB2312" w:cs="仿宋_GB2312"/>
          <w:color w:val="auto"/>
          <w:sz w:val="32"/>
          <w:szCs w:val="32"/>
          <w:lang w:eastAsia="zh-CN"/>
        </w:rPr>
        <w:t>的内容及</w:t>
      </w:r>
      <w:r>
        <w:rPr>
          <w:rFonts w:hint="eastAsia" w:ascii="仿宋_GB2312" w:hAnsi="仿宋_GB2312" w:eastAsia="仿宋_GB2312" w:cs="仿宋_GB2312"/>
          <w:color w:val="auto"/>
          <w:sz w:val="32"/>
          <w:szCs w:val="32"/>
        </w:rPr>
        <w:t>事实、理由、依据</w:t>
      </w:r>
      <w:r>
        <w:rPr>
          <w:rFonts w:hint="eastAsia" w:ascii="仿宋_GB2312" w:hAnsi="仿宋_GB2312" w:eastAsia="仿宋_GB2312" w:cs="仿宋_GB2312"/>
          <w:color w:val="auto"/>
          <w:sz w:val="32"/>
          <w:szCs w:val="32"/>
          <w:lang w:eastAsia="zh-CN"/>
        </w:rPr>
        <w:t>和当事人依法</w:t>
      </w:r>
      <w:r>
        <w:rPr>
          <w:rFonts w:hint="eastAsia" w:ascii="仿宋_GB2312" w:hAnsi="仿宋_GB2312" w:eastAsia="仿宋_GB2312" w:cs="仿宋_GB2312"/>
          <w:color w:val="auto"/>
          <w:sz w:val="32"/>
          <w:szCs w:val="32"/>
        </w:rPr>
        <w:t>享有的权利，当事人在法定期限内未行使陈述、申辩</w:t>
      </w:r>
      <w:r>
        <w:rPr>
          <w:rFonts w:hint="eastAsia" w:ascii="仿宋_GB2312" w:hAnsi="仿宋_GB2312" w:eastAsia="仿宋_GB2312" w:cs="仿宋_GB2312"/>
          <w:color w:val="auto"/>
          <w:sz w:val="32"/>
          <w:szCs w:val="32"/>
          <w:lang w:eastAsia="zh-CN"/>
        </w:rPr>
        <w:t>和听证</w:t>
      </w:r>
      <w:r>
        <w:rPr>
          <w:rFonts w:hint="eastAsia" w:ascii="仿宋_GB2312" w:hAnsi="仿宋_GB2312" w:eastAsia="仿宋_GB2312" w:cs="仿宋_GB2312"/>
          <w:color w:val="auto"/>
          <w:sz w:val="32"/>
          <w:szCs w:val="32"/>
        </w:rPr>
        <w:t>的权利。</w:t>
      </w:r>
    </w:p>
    <w:p w14:paraId="52D68D59">
      <w:pPr>
        <w:keepNext w:val="0"/>
        <w:keepLines w:val="0"/>
        <w:pageBreakBefore w:val="0"/>
        <w:kinsoku w:val="0"/>
        <w:wordWrap/>
        <w:overflowPunct/>
        <w:autoSpaceDE w:val="0"/>
        <w:autoSpaceDN w:val="0"/>
        <w:bidi w:val="0"/>
        <w:spacing w:line="52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我局认为，</w:t>
      </w:r>
      <w:r>
        <w:rPr>
          <w:rFonts w:hint="eastAsia" w:ascii="仿宋_GB2312" w:hAnsi="仿宋_GB2312" w:eastAsia="仿宋_GB2312" w:cs="仿宋_GB2312"/>
          <w:sz w:val="32"/>
          <w:szCs w:val="32"/>
          <w:u w:val="none"/>
          <w:lang w:eastAsia="zh-CN"/>
        </w:rPr>
        <w:t>当事人</w:t>
      </w:r>
      <w:r>
        <w:rPr>
          <w:rFonts w:hint="eastAsia" w:ascii="仿宋_GB2312" w:hAnsi="仿宋_GB2312" w:eastAsia="仿宋_GB2312" w:cs="仿宋_GB2312"/>
          <w:color w:val="000000"/>
          <w:sz w:val="32"/>
          <w:szCs w:val="32"/>
          <w:lang w:val="en-US" w:eastAsia="zh-CN"/>
        </w:rPr>
        <w:t>连续2年（2023年度和2024年度）未按规定报送年度报告被列入经营异常名录未改正，且通过登记的住所或经营场所无法取得联系，该行为违反了《企业信息公示暂行条例》第八条第一款“企业应当于每年1月1日至6月30日，通过国家企业信用信息公示系统向市场监督管理部门报送上一年度年度报告，并向社会公示。”的规定，构成连续2年未按规定报送年度报告被列入经营异常名录未改正，且通过登记的住所或者经营场所无法取得联系的违法行为。</w:t>
      </w:r>
    </w:p>
    <w:p w14:paraId="17E15A11">
      <w:pPr>
        <w:keepNext w:val="0"/>
        <w:keepLines w:val="0"/>
        <w:pageBreakBefore w:val="0"/>
        <w:kinsoku w:val="0"/>
        <w:wordWrap/>
        <w:overflowPunct/>
        <w:autoSpaceDE w:val="0"/>
        <w:autoSpaceDN w:val="0"/>
        <w:bidi w:val="0"/>
        <w:spacing w:line="52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因此，依据</w:t>
      </w:r>
      <w:r>
        <w:rPr>
          <w:rFonts w:hint="eastAsia" w:ascii="仿宋_GB2312" w:hAnsi="仿宋_GB2312" w:eastAsia="仿宋_GB2312" w:cs="仿宋_GB2312"/>
          <w:sz w:val="32"/>
          <w:szCs w:val="32"/>
          <w:u w:val="none"/>
          <w:lang w:val="en-US" w:eastAsia="zh-CN" w:bidi="ar-SA"/>
        </w:rPr>
        <w:t>《企业信息公示暂行条例》第十八条第一款“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且通过登记的住所或者经营场所无法取得联系的，由县级以上市场监督管理部门吊销营业执照。”的规定，</w:t>
      </w:r>
      <w:r>
        <w:rPr>
          <w:rFonts w:hint="eastAsia" w:ascii="仿宋_GB2312" w:hAnsi="仿宋_GB2312" w:eastAsia="仿宋_GB2312" w:cs="仿宋_GB2312"/>
          <w:color w:val="000000"/>
          <w:sz w:val="32"/>
          <w:szCs w:val="32"/>
          <w:lang w:eastAsia="zh-CN"/>
        </w:rPr>
        <w:t>应当给予当事人吊销营业执照</w:t>
      </w:r>
      <w:r>
        <w:rPr>
          <w:rFonts w:hint="eastAsia" w:ascii="仿宋_GB2312" w:hAnsi="仿宋_GB2312" w:eastAsia="仿宋_GB2312" w:cs="仿宋_GB2312"/>
          <w:color w:val="000000"/>
          <w:sz w:val="32"/>
          <w:szCs w:val="32"/>
          <w:lang w:val="en-US" w:eastAsia="zh-CN"/>
        </w:rPr>
        <w:t>的行政处罚。</w:t>
      </w:r>
    </w:p>
    <w:p w14:paraId="0989BF2F">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综上，当事人上述行为违反了《企业信息公示暂行条例》第八条第一款的规定，依据《企业信息公示暂行条例》第十八条第一款的规定，现决定对当事人处罚如下：</w:t>
      </w:r>
    </w:p>
    <w:p w14:paraId="0BA79D8C">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吊销营业执照。</w:t>
      </w:r>
    </w:p>
    <w:p w14:paraId="203E6F94">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如不服本处罚决定，可在接到处罚决定书之日起六十日内，向安溪县人民政府申请行政复议，也可在接到本处罚决定书之日起六个月内直接向人民法院提起行政诉讼。当事人对行政处罚决定不服申请行政复议或者提起行政诉讼的，行政处罚决定不停止执行。</w:t>
      </w:r>
    </w:p>
    <w:p w14:paraId="0AEA87F4">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rPr>
      </w:pPr>
    </w:p>
    <w:p w14:paraId="79C438CF">
      <w:pPr>
        <w:keepNext w:val="0"/>
        <w:keepLines w:val="0"/>
        <w:pageBreakBefore w:val="0"/>
        <w:widowControl w:val="0"/>
        <w:kinsoku w:val="0"/>
        <w:wordWrap/>
        <w:overflowPunct/>
        <w:topLinePunct/>
        <w:autoSpaceDE w:val="0"/>
        <w:autoSpaceDN w:val="0"/>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eastAsia="zh-CN"/>
        </w:rPr>
      </w:pPr>
    </w:p>
    <w:p w14:paraId="68A66FB8">
      <w:pPr>
        <w:pStyle w:val="8"/>
        <w:keepNext w:val="0"/>
        <w:keepLines w:val="0"/>
        <w:pageBreakBefore w:val="0"/>
        <w:widowControl/>
        <w:kinsoku w:val="0"/>
        <w:wordWrap/>
        <w:overflowPunct/>
        <w:topLinePunct w:val="0"/>
        <w:autoSpaceDE w:val="0"/>
        <w:autoSpaceDN w:val="0"/>
        <w:bidi w:val="0"/>
        <w:adjustRightInd w:val="0"/>
        <w:snapToGrid w:val="0"/>
        <w:spacing w:line="520" w:lineRule="exact"/>
        <w:ind w:left="0" w:firstLine="601"/>
        <w:jc w:val="right"/>
        <w:textAlignment w:val="baseline"/>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lang w:eastAsia="zh-CN"/>
        </w:rPr>
        <w:t>安溪县市场监督管理局</w:t>
      </w:r>
    </w:p>
    <w:p w14:paraId="511A01BA">
      <w:pPr>
        <w:pStyle w:val="8"/>
        <w:keepNext w:val="0"/>
        <w:keepLines w:val="0"/>
        <w:pageBreakBefore w:val="0"/>
        <w:widowControl/>
        <w:kinsoku w:val="0"/>
        <w:wordWrap/>
        <w:overflowPunct/>
        <w:topLinePunct w:val="0"/>
        <w:autoSpaceDE w:val="0"/>
        <w:autoSpaceDN w:val="0"/>
        <w:bidi w:val="0"/>
        <w:adjustRightInd w:val="0"/>
        <w:snapToGrid w:val="0"/>
        <w:spacing w:after="313" w:afterLines="100" w:line="520" w:lineRule="exact"/>
        <w:ind w:left="0" w:firstLine="601"/>
        <w:jc w:val="right"/>
        <w:textAlignment w:val="baseline"/>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lang w:val="en-US" w:eastAsia="zh-CN"/>
        </w:rPr>
        <w:t>2026</w:t>
      </w:r>
      <w:r>
        <w:rPr>
          <w:rFonts w:hint="eastAsia" w:ascii="仿宋_GB2312" w:hAnsi="仿宋_GB2312" w:eastAsia="仿宋_GB2312" w:cs="仿宋_GB2312"/>
          <w:color w:val="000000"/>
          <w:sz w:val="32"/>
          <w:szCs w:val="32"/>
          <w:lang w:eastAsia="zh-CN"/>
        </w:rPr>
        <w:t>年</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月</w:t>
      </w:r>
      <w:r>
        <w:rPr>
          <w:rFonts w:hint="eastAsia" w:ascii="仿宋_GB2312" w:hAnsi="仿宋_GB2312" w:eastAsia="仿宋_GB2312" w:cs="仿宋_GB2312"/>
          <w:color w:val="000000"/>
          <w:sz w:val="32"/>
          <w:szCs w:val="32"/>
          <w:lang w:val="en-US" w:eastAsia="zh-CN"/>
        </w:rPr>
        <w:t>18</w:t>
      </w:r>
      <w:bookmarkStart w:id="0" w:name="_GoBack"/>
      <w:bookmarkEnd w:id="0"/>
      <w:r>
        <w:rPr>
          <w:rFonts w:hint="eastAsia" w:ascii="仿宋_GB2312" w:hAnsi="仿宋_GB2312" w:eastAsia="仿宋_GB2312" w:cs="仿宋_GB2312"/>
          <w:color w:val="000000"/>
          <w:sz w:val="32"/>
          <w:szCs w:val="32"/>
          <w:lang w:eastAsia="zh-CN"/>
        </w:rPr>
        <w:t>日</w:t>
      </w:r>
    </w:p>
    <w:p w14:paraId="1B01E90A">
      <w:pPr>
        <w:pStyle w:val="8"/>
        <w:keepNext w:val="0"/>
        <w:keepLines w:val="0"/>
        <w:pageBreakBefore w:val="0"/>
        <w:widowControl/>
        <w:kinsoku w:val="0"/>
        <w:wordWrap/>
        <w:overflowPunct/>
        <w:topLinePunct w:val="0"/>
        <w:autoSpaceDE w:val="0"/>
        <w:autoSpaceDN w:val="0"/>
        <w:bidi w:val="0"/>
        <w:adjustRightInd w:val="0"/>
        <w:snapToGrid w:val="0"/>
        <w:spacing w:after="313" w:afterLines="100" w:line="520" w:lineRule="exact"/>
        <w:jc w:val="both"/>
        <w:textAlignment w:val="baseline"/>
        <w:rPr>
          <w:rFonts w:hint="eastAsia" w:ascii="仿宋_GB2312" w:hAnsi="仿宋_GB2312" w:eastAsia="仿宋_GB2312" w:cs="仿宋_GB2312"/>
          <w:color w:val="000000"/>
          <w:sz w:val="32"/>
          <w:szCs w:val="32"/>
          <w:lang w:eastAsia="zh-CN"/>
        </w:rPr>
      </w:pPr>
    </w:p>
    <w:p w14:paraId="195D6FDD">
      <w:pPr>
        <w:pStyle w:val="8"/>
        <w:widowControl/>
        <w:snapToGrid w:val="0"/>
        <w:spacing w:line="560" w:lineRule="exact"/>
        <w:jc w:val="center"/>
        <w:rPr>
          <w:lang w:val="en-US"/>
        </w:rPr>
      </w:pPr>
      <w:r>
        <w:rPr>
          <w:rFonts w:hint="eastAsia" w:ascii="黑体" w:eastAsia="黑体" w:cs="黑体"/>
          <w:b/>
          <w:bCs w:val="0"/>
          <w:color w:val="000000"/>
          <w:sz w:val="32"/>
          <w:szCs w:val="32"/>
          <w:lang w:eastAsia="zh-CN"/>
        </w:rPr>
        <w:t>（市场监督管理部门将依法向社会公开行政处罚决定信息）</w:t>
      </w:r>
    </w:p>
    <w:p w14:paraId="1818F01E">
      <w:pPr>
        <w:pStyle w:val="8"/>
        <w:widowControl/>
        <w:snapToGrid w:val="0"/>
        <w:spacing w:line="560" w:lineRule="exact"/>
        <w:rPr>
          <w:lang w:val="en-US"/>
        </w:rPr>
      </w:pPr>
      <w:r>
        <w:rPr>
          <w:rFonts w:hint="default" w:ascii="Calibri" w:hAnsi="Calibri" w:eastAsia="宋体" w:cs="宋体"/>
          <w:snapToGrid w:val="0"/>
          <w:color w:val="000000"/>
          <w:kern w:val="0"/>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75pt;margin-top:21.7pt;height:0.05pt;width:439.35pt;z-index:251659264;mso-width-relative:page;mso-height-relative:page;" filled="f" stroked="t" coordsize="21600,21600" o:gfxdata="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32Hyr0wAA&#10;AAcBAAAPAAAAAAAAAAEAIAAAACIAAABkcnMvZG93bnJldi54bWxQSwECFAAUAAAACACHTuJA9vDl&#10;guoBAADeAwAADgAAAAAAAAABACAAAAAiAQAAZHJzL2Uyb0RvYy54bWxQSwUGAAAAAAYABgBZAQAA&#10;fgUAAAAA&#10;">
                <v:fill on="f" focussize="0,0"/>
                <v:stroke weight="1.5pt" color="#000000" joinstyle="round"/>
                <v:imagedata o:title=""/>
                <o:lock v:ext="edit" aspectratio="f"/>
              </v:line>
            </w:pict>
          </mc:Fallback>
        </mc:AlternateContent>
      </w:r>
    </w:p>
    <w:p w14:paraId="40AAF414">
      <w:pPr>
        <w:pStyle w:val="8"/>
        <w:widowControl/>
        <w:snapToGrid w:val="0"/>
        <w:spacing w:line="560" w:lineRule="exact"/>
        <w:jc w:val="center"/>
        <w:rPr>
          <w:rFonts w:hint="eastAsia" w:ascii="仿宋_GB2312" w:hAnsi="仿宋_GB2312" w:eastAsia="仿宋_GB2312" w:cs="仿宋_GB2312"/>
          <w:spacing w:val="0"/>
          <w:w w:val="100"/>
          <w:sz w:val="32"/>
          <w:szCs w:val="32"/>
        </w:rPr>
      </w:pPr>
      <w:r>
        <w:rPr>
          <w:rFonts w:hint="eastAsia" w:ascii="仿宋_GB2312" w:eastAsia="仿宋_GB2312" w:cs="仿宋_GB2312"/>
          <w:color w:val="000000"/>
          <w:sz w:val="32"/>
          <w:szCs w:val="32"/>
          <w:lang w:eastAsia="zh-CN"/>
        </w:rPr>
        <w:t>本文书一式</w:t>
      </w:r>
      <w:r>
        <w:rPr>
          <w:rFonts w:hint="eastAsia" w:ascii="Times New Roman" w:hAnsi="Times New Roman" w:eastAsia="仿宋_GB2312" w:cs="Times New Roman"/>
          <w:color w:val="000000"/>
          <w:sz w:val="32"/>
          <w:szCs w:val="32"/>
          <w:u w:val="none"/>
          <w:lang w:val="en-US" w:eastAsia="zh-CN"/>
        </w:rPr>
        <w:t>二</w:t>
      </w:r>
      <w:r>
        <w:rPr>
          <w:rFonts w:hint="eastAsia" w:ascii="仿宋_GB2312" w:eastAsia="仿宋_GB2312" w:cs="仿宋_GB2312"/>
          <w:color w:val="000000"/>
          <w:sz w:val="32"/>
          <w:szCs w:val="32"/>
          <w:lang w:eastAsia="zh-CN"/>
        </w:rPr>
        <w:t>份，</w:t>
      </w:r>
      <w:r>
        <w:rPr>
          <w:rFonts w:hint="eastAsia" w:ascii="Times New Roman" w:hAnsi="Times New Roman" w:eastAsia="仿宋_GB2312" w:cs="Times New Roman"/>
          <w:color w:val="000000"/>
          <w:sz w:val="32"/>
          <w:szCs w:val="32"/>
          <w:u w:val="none"/>
          <w:lang w:val="en-US" w:eastAsia="zh-CN"/>
        </w:rPr>
        <w:t>一</w:t>
      </w:r>
      <w:r>
        <w:rPr>
          <w:rFonts w:hint="eastAsia" w:ascii="仿宋_GB2312" w:eastAsia="仿宋_GB2312" w:cs="仿宋_GB2312"/>
          <w:color w:val="000000"/>
          <w:sz w:val="32"/>
          <w:szCs w:val="32"/>
          <w:lang w:eastAsia="zh-CN"/>
        </w:rPr>
        <w:t>份送达，一份归档。</w:t>
      </w:r>
    </w:p>
    <w:sectPr>
      <w:headerReference r:id="rId5" w:type="default"/>
      <w:footerReference r:id="rId6" w:type="default"/>
      <w:pgSz w:w="11906" w:h="16838"/>
      <w:pgMar w:top="1247" w:right="1587" w:bottom="1247" w:left="1587" w:header="0" w:footer="930" w:gutter="0"/>
      <w:pgNumType w:fmt="decimal"/>
      <w:cols w:space="72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C72C">
    <w:pPr>
      <w:widowControl/>
      <w:kinsoku w:val="0"/>
      <w:wordWrap/>
      <w:autoSpaceDE w:val="0"/>
      <w:autoSpaceDN w:val="0"/>
      <w:adjustRightInd w:val="0"/>
      <w:snapToGrid w:val="0"/>
      <w:spacing w:line="560" w:lineRule="exact"/>
      <w:ind w:left="0" w:leftChars="0" w:right="0" w:firstLine="0" w:firstLineChars="0"/>
      <w:jc w:val="left"/>
      <w:textAlignment w:val="baseline"/>
      <w:outlineLvl w:val="9"/>
    </w:pPr>
    <w:r>
      <w:rPr>
        <w:rFonts w:ascii="Arial" w:hAnsi="Arial" w:eastAsia="Arial" w:cs="Arial"/>
        <w:snapToGrid w:val="0"/>
        <w:color w:val="000000"/>
        <w:kern w:val="0"/>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14:paraId="4BADBC48">
                          <w:pPr>
                            <w:snapToGrid w:val="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 xml:space="preserve">第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PAGE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 共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NUMPAGES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w:t>
                          </w:r>
                        </w:p>
                      </w:txbxContent>
                    </wps:txbx>
                    <wps:bodyPr lIns="0" tIns="0" rIns="0" bIns="0" upright="0"/>
                  </wps:wsp>
                </a:graphicData>
              </a:graphic>
            </wp:anchor>
          </w:drawing>
        </mc:Choice>
        <mc:Fallback>
          <w:pict>
            <v:shape id="_x0000_s1026" o:spid="_x0000_s1026" o:spt="202" type="#_x0000_t202" style="position:absolute;left:0pt;margin-top:4.75pt;height:16.45pt;width:120pt;mso-position-horizontal:center;mso-position-horizontal-relative:margin;z-index:251659264;mso-width-relative:page;mso-height-relative:page;" filled="f" stroked="f" coordsize="21600,21600" o:gfxdata="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GMh9j1AAAAAUBAAAPAAAAAAAAAAEAIAAAACIAAABkcnMvZG93bnJldi54bWxQSwECFAAUAAAA&#10;CACHTuJA6hc6ZrkBAAByAwAADgAAAAAAAAABACAAAAAjAQAAZHJzL2Uyb0RvYy54bWxQSwUGAAAA&#10;AAYABgBZAQAATgUAAAAA&#10;">
              <v:fill on="f" focussize="0,0"/>
              <v:stroke on="f"/>
              <v:imagedata o:title=""/>
              <o:lock v:ext="edit" aspectratio="f"/>
              <v:textbox inset="0mm,0mm,0mm,0mm">
                <w:txbxContent>
                  <w:p w14:paraId="4BADBC48">
                    <w:pPr>
                      <w:snapToGrid w:val="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 xml:space="preserve">第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PAGE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 共 </w:t>
                    </w:r>
                    <w:r>
                      <w:rPr>
                        <w:rFonts w:hint="eastAsia" w:ascii="仿宋_GB2312" w:hAnsi="仿宋_GB2312" w:eastAsia="仿宋_GB2312" w:cs="仿宋_GB2312"/>
                        <w:sz w:val="21"/>
                        <w:szCs w:val="21"/>
                        <w:lang w:eastAsia="zh-CN"/>
                      </w:rPr>
                      <w:fldChar w:fldCharType="begin"/>
                    </w:r>
                    <w:r>
                      <w:rPr>
                        <w:rFonts w:hint="eastAsia" w:ascii="仿宋_GB2312" w:hAnsi="仿宋_GB2312" w:eastAsia="仿宋_GB2312" w:cs="仿宋_GB2312"/>
                        <w:sz w:val="21"/>
                        <w:szCs w:val="21"/>
                        <w:lang w:eastAsia="zh-CN"/>
                      </w:rPr>
                      <w:instrText xml:space="preserve"> NUMPAGES  \* MERGEFORMAT </w:instrText>
                    </w:r>
                    <w:r>
                      <w:rPr>
                        <w:rFonts w:hint="eastAsia" w:ascii="仿宋_GB2312" w:hAnsi="仿宋_GB2312" w:eastAsia="仿宋_GB2312" w:cs="仿宋_GB2312"/>
                        <w:sz w:val="21"/>
                        <w:szCs w:val="21"/>
                        <w:lang w:eastAsia="zh-CN"/>
                      </w:rPr>
                      <w:fldChar w:fldCharType="separate"/>
                    </w: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eastAsia="zh-CN"/>
                      </w:rPr>
                      <w:fldChar w:fldCharType="end"/>
                    </w:r>
                    <w:r>
                      <w:rPr>
                        <w:rFonts w:hint="eastAsia" w:ascii="仿宋_GB2312" w:hAnsi="仿宋_GB2312" w:eastAsia="仿宋_GB2312" w:cs="仿宋_GB2312"/>
                        <w:sz w:val="21"/>
                        <w:szCs w:val="21"/>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DCBC5">
    <w:pPr>
      <w:spacing w:line="14" w:lineRule="auto"/>
      <w:rPr>
        <w:rFonts w:ascii="Malgun Gothic"/>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HorizontalSpacing w:val="210"/>
  <w:drawingGridVerticalSpacing w:val="-794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kMzJkYTJjOTEwZDFmZjkzNGQzN2E3ZWI3ODNjZGUifQ=="/>
  </w:docVars>
  <w:rsids>
    <w:rsidRoot w:val="00172A27"/>
    <w:rsid w:val="000942B7"/>
    <w:rsid w:val="012F2049"/>
    <w:rsid w:val="016347D7"/>
    <w:rsid w:val="01885BB3"/>
    <w:rsid w:val="01BA49CF"/>
    <w:rsid w:val="025B1243"/>
    <w:rsid w:val="032D650E"/>
    <w:rsid w:val="03CD51B9"/>
    <w:rsid w:val="03E92355"/>
    <w:rsid w:val="03F57016"/>
    <w:rsid w:val="04636965"/>
    <w:rsid w:val="058013F8"/>
    <w:rsid w:val="05E534BC"/>
    <w:rsid w:val="068368A8"/>
    <w:rsid w:val="07187AC2"/>
    <w:rsid w:val="07560679"/>
    <w:rsid w:val="07FC6E1F"/>
    <w:rsid w:val="080D4B60"/>
    <w:rsid w:val="09BA21CC"/>
    <w:rsid w:val="09C65355"/>
    <w:rsid w:val="09E366F4"/>
    <w:rsid w:val="0A023571"/>
    <w:rsid w:val="0A1B2BE5"/>
    <w:rsid w:val="0A883DAB"/>
    <w:rsid w:val="0B470389"/>
    <w:rsid w:val="0B660046"/>
    <w:rsid w:val="0BB24C22"/>
    <w:rsid w:val="0C29277A"/>
    <w:rsid w:val="0C350AD1"/>
    <w:rsid w:val="0C684A5B"/>
    <w:rsid w:val="0C8D09A7"/>
    <w:rsid w:val="0CE67036"/>
    <w:rsid w:val="0D026945"/>
    <w:rsid w:val="0E5D49FE"/>
    <w:rsid w:val="0E6B31A6"/>
    <w:rsid w:val="0ECD0ABC"/>
    <w:rsid w:val="0F1175EE"/>
    <w:rsid w:val="0F1D227D"/>
    <w:rsid w:val="109804B1"/>
    <w:rsid w:val="10EE7D52"/>
    <w:rsid w:val="110F5774"/>
    <w:rsid w:val="1139142B"/>
    <w:rsid w:val="115433FE"/>
    <w:rsid w:val="117561FC"/>
    <w:rsid w:val="11E048F7"/>
    <w:rsid w:val="12B14FE2"/>
    <w:rsid w:val="131001D5"/>
    <w:rsid w:val="14BD26F1"/>
    <w:rsid w:val="152A0C39"/>
    <w:rsid w:val="155B5497"/>
    <w:rsid w:val="15B91E83"/>
    <w:rsid w:val="15C24FDC"/>
    <w:rsid w:val="16220FB0"/>
    <w:rsid w:val="162E2639"/>
    <w:rsid w:val="16A11315"/>
    <w:rsid w:val="17A32A46"/>
    <w:rsid w:val="19A55C3A"/>
    <w:rsid w:val="1A0A118E"/>
    <w:rsid w:val="1A4446E9"/>
    <w:rsid w:val="1A524C3A"/>
    <w:rsid w:val="1B9C17AD"/>
    <w:rsid w:val="1BBA43D7"/>
    <w:rsid w:val="1C6D56C9"/>
    <w:rsid w:val="1DAE6E1D"/>
    <w:rsid w:val="1DDD4282"/>
    <w:rsid w:val="1E0008A6"/>
    <w:rsid w:val="1EA26F4C"/>
    <w:rsid w:val="1ECD42C4"/>
    <w:rsid w:val="1F89098F"/>
    <w:rsid w:val="206967F2"/>
    <w:rsid w:val="20D9162C"/>
    <w:rsid w:val="21293D97"/>
    <w:rsid w:val="213A3C94"/>
    <w:rsid w:val="22043500"/>
    <w:rsid w:val="227B457F"/>
    <w:rsid w:val="23012016"/>
    <w:rsid w:val="23256DAA"/>
    <w:rsid w:val="24226165"/>
    <w:rsid w:val="25342BE4"/>
    <w:rsid w:val="263823D4"/>
    <w:rsid w:val="282B60D9"/>
    <w:rsid w:val="28EF377B"/>
    <w:rsid w:val="2A816856"/>
    <w:rsid w:val="2AF61758"/>
    <w:rsid w:val="2B0D1D89"/>
    <w:rsid w:val="2BAE02EF"/>
    <w:rsid w:val="2D28743E"/>
    <w:rsid w:val="2D703A18"/>
    <w:rsid w:val="2E167879"/>
    <w:rsid w:val="2EC81C5B"/>
    <w:rsid w:val="2F1D3BFD"/>
    <w:rsid w:val="2F434220"/>
    <w:rsid w:val="2F8D1F5F"/>
    <w:rsid w:val="30025436"/>
    <w:rsid w:val="30140D71"/>
    <w:rsid w:val="30FB0A81"/>
    <w:rsid w:val="31E4268D"/>
    <w:rsid w:val="32156BF2"/>
    <w:rsid w:val="326B3788"/>
    <w:rsid w:val="32DB28B2"/>
    <w:rsid w:val="32F0381B"/>
    <w:rsid w:val="34BF5DB0"/>
    <w:rsid w:val="35066A3B"/>
    <w:rsid w:val="358D4217"/>
    <w:rsid w:val="35DD41CD"/>
    <w:rsid w:val="36392518"/>
    <w:rsid w:val="370F76FD"/>
    <w:rsid w:val="380F4FE6"/>
    <w:rsid w:val="39451113"/>
    <w:rsid w:val="394F2215"/>
    <w:rsid w:val="39557091"/>
    <w:rsid w:val="39E11761"/>
    <w:rsid w:val="3A3419A5"/>
    <w:rsid w:val="3A7A647F"/>
    <w:rsid w:val="3ACB5733"/>
    <w:rsid w:val="3B2503D0"/>
    <w:rsid w:val="3B712945"/>
    <w:rsid w:val="3BF011C2"/>
    <w:rsid w:val="3D2A017E"/>
    <w:rsid w:val="3D8C217E"/>
    <w:rsid w:val="3DAA2BDE"/>
    <w:rsid w:val="3DD73CDA"/>
    <w:rsid w:val="3EC24005"/>
    <w:rsid w:val="3ECC1E3C"/>
    <w:rsid w:val="3F62246A"/>
    <w:rsid w:val="4013081A"/>
    <w:rsid w:val="40C45C61"/>
    <w:rsid w:val="40C95FA7"/>
    <w:rsid w:val="411F0E08"/>
    <w:rsid w:val="4178048C"/>
    <w:rsid w:val="419E6B0D"/>
    <w:rsid w:val="422C131F"/>
    <w:rsid w:val="42A328F3"/>
    <w:rsid w:val="42AD6606"/>
    <w:rsid w:val="42F223AD"/>
    <w:rsid w:val="436E49D5"/>
    <w:rsid w:val="43727992"/>
    <w:rsid w:val="4373766C"/>
    <w:rsid w:val="44666240"/>
    <w:rsid w:val="45C53801"/>
    <w:rsid w:val="463F2A4E"/>
    <w:rsid w:val="46B439B7"/>
    <w:rsid w:val="46CC4E60"/>
    <w:rsid w:val="46EB2B66"/>
    <w:rsid w:val="471548BC"/>
    <w:rsid w:val="483B7D89"/>
    <w:rsid w:val="48E847AE"/>
    <w:rsid w:val="495A0CAC"/>
    <w:rsid w:val="49C51C36"/>
    <w:rsid w:val="4A282339"/>
    <w:rsid w:val="4AA60F74"/>
    <w:rsid w:val="4B0C26C1"/>
    <w:rsid w:val="4B483486"/>
    <w:rsid w:val="4B5D2CD5"/>
    <w:rsid w:val="4C841FAE"/>
    <w:rsid w:val="4CAB0CDE"/>
    <w:rsid w:val="4D9072F9"/>
    <w:rsid w:val="4EEE14ED"/>
    <w:rsid w:val="5168721D"/>
    <w:rsid w:val="517E7D2F"/>
    <w:rsid w:val="52030AD2"/>
    <w:rsid w:val="533B51A1"/>
    <w:rsid w:val="53F63AFE"/>
    <w:rsid w:val="541C08A5"/>
    <w:rsid w:val="549D6B60"/>
    <w:rsid w:val="565A74F0"/>
    <w:rsid w:val="56AB3EA2"/>
    <w:rsid w:val="57141922"/>
    <w:rsid w:val="57415041"/>
    <w:rsid w:val="57F731DF"/>
    <w:rsid w:val="587460B6"/>
    <w:rsid w:val="58AE6A66"/>
    <w:rsid w:val="58B469F6"/>
    <w:rsid w:val="58F71674"/>
    <w:rsid w:val="5A560F28"/>
    <w:rsid w:val="5A781F79"/>
    <w:rsid w:val="5B115CC2"/>
    <w:rsid w:val="5B2C4F33"/>
    <w:rsid w:val="5B827BC6"/>
    <w:rsid w:val="5B855486"/>
    <w:rsid w:val="5BA8414C"/>
    <w:rsid w:val="5C4862C0"/>
    <w:rsid w:val="5C5559EE"/>
    <w:rsid w:val="5C960E36"/>
    <w:rsid w:val="5CC948B6"/>
    <w:rsid w:val="5D4A1E73"/>
    <w:rsid w:val="5D940417"/>
    <w:rsid w:val="5F3F6CDA"/>
    <w:rsid w:val="5F9C05FF"/>
    <w:rsid w:val="5FF23FC9"/>
    <w:rsid w:val="60152297"/>
    <w:rsid w:val="60E02B19"/>
    <w:rsid w:val="614119B8"/>
    <w:rsid w:val="6165448C"/>
    <w:rsid w:val="62A51328"/>
    <w:rsid w:val="62A81C50"/>
    <w:rsid w:val="633A597E"/>
    <w:rsid w:val="64010DF0"/>
    <w:rsid w:val="64664AA2"/>
    <w:rsid w:val="6494772F"/>
    <w:rsid w:val="64AF38BD"/>
    <w:rsid w:val="64EB3602"/>
    <w:rsid w:val="66154481"/>
    <w:rsid w:val="663866E1"/>
    <w:rsid w:val="66410B68"/>
    <w:rsid w:val="68F75A57"/>
    <w:rsid w:val="69DF4B0C"/>
    <w:rsid w:val="6A5D6046"/>
    <w:rsid w:val="6B24348C"/>
    <w:rsid w:val="6D810098"/>
    <w:rsid w:val="6D836A6F"/>
    <w:rsid w:val="6DC03446"/>
    <w:rsid w:val="6EA32EB3"/>
    <w:rsid w:val="6F4F68E3"/>
    <w:rsid w:val="6FFC3AA1"/>
    <w:rsid w:val="710A1518"/>
    <w:rsid w:val="719706FE"/>
    <w:rsid w:val="72190E55"/>
    <w:rsid w:val="73F37FB8"/>
    <w:rsid w:val="74061F79"/>
    <w:rsid w:val="740673FC"/>
    <w:rsid w:val="742E2A8B"/>
    <w:rsid w:val="76410ED3"/>
    <w:rsid w:val="76B132EF"/>
    <w:rsid w:val="76F507BA"/>
    <w:rsid w:val="7707786F"/>
    <w:rsid w:val="779A3DE9"/>
    <w:rsid w:val="78D81759"/>
    <w:rsid w:val="7C7E00C1"/>
    <w:rsid w:val="7C900B38"/>
    <w:rsid w:val="7CB8338F"/>
    <w:rsid w:val="7DCC0558"/>
    <w:rsid w:val="7DEA3FC2"/>
    <w:rsid w:val="7E174D59"/>
    <w:rsid w:val="7E9A3654"/>
    <w:rsid w:val="7EB006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pPr>
      <w:widowControl/>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p0"/>
    <w:basedOn w:val="1"/>
    <w:qFormat/>
    <w:uiPriority w:val="0"/>
    <w:pPr>
      <w:widowControl/>
      <w:spacing w:before="0" w:beforeAutospacing="0" w:after="0" w:afterAutospacing="0"/>
      <w:ind w:left="0" w:right="0"/>
      <w:jc w:val="both"/>
    </w:pPr>
    <w:rPr>
      <w:rFonts w:hint="default" w:ascii="Calibri" w:hAnsi="Calibri" w:eastAsia="宋体" w:cs="宋体"/>
      <w:kern w:val="0"/>
      <w:sz w:val="21"/>
      <w:szCs w:val="21"/>
      <w:lang w:val="en-US" w:eastAsia="zh-CN" w:bidi="ar-SA"/>
    </w:r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1582</Words>
  <Characters>1717</Characters>
  <Lines>0</Lines>
  <Paragraphs>0</Paragraphs>
  <TotalTime>8</TotalTime>
  <ScaleCrop>false</ScaleCrop>
  <LinksUpToDate>false</LinksUpToDate>
  <CharactersWithSpaces>1867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2021-07-22T01:01:00Z</dcterms:created>
  <dc:creator>Administrator</dc:creator>
  <cp:lastModifiedBy>期待第十五个观点</cp:lastModifiedBy>
  <cp:lastPrinted>2026-06-18T01:27:57Z</cp:lastPrinted>
  <dcterms:modified xsi:type="dcterms:W3CDTF">2026-06-18T01:33:13Z</dcterms:modified>
  <dc:title>安溪县市场监督管理局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0B085DA685D84B7C817D008771086413_13</vt:lpwstr>
  </property>
  <property fmtid="{D5CDD505-2E9C-101B-9397-08002B2CF9AE}" pid="4" name="KSOTemplateDocerSaveRecord">
    <vt:lpwstr>eyJoZGlkIjoiMzhhMmY2OTcwMzBlOGMzNTM5MDk1MzNmNDVmNTI0YjQiLCJ1c2VySWQiOiIxNDMzMTY3NjU3In0=</vt:lpwstr>
  </property>
</Properties>
</file>