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AE93D">
      <w:pPr>
        <w:topLinePunct/>
        <w:spacing w:line="600" w:lineRule="exact"/>
        <w:jc w:val="center"/>
        <w:rPr>
          <w:rFonts w:ascii="方正小标宋_GBK" w:hAnsi="Times New Roman" w:eastAsia="方正小标宋_GBK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安溪县“数智强师”队伍建设与培养实施方案</w:t>
      </w:r>
    </w:p>
    <w:bookmarkEnd w:id="0"/>
    <w:p w14:paraId="27899E5D">
      <w:pPr>
        <w:topLinePunct/>
        <w:spacing w:line="600" w:lineRule="exact"/>
        <w:rPr>
          <w:rFonts w:ascii="仿宋_GB2312" w:eastAsia="仿宋_GB2312"/>
          <w:sz w:val="32"/>
          <w:szCs w:val="32"/>
        </w:rPr>
      </w:pPr>
    </w:p>
    <w:p w14:paraId="722E4D08">
      <w:pPr>
        <w:topLinePunct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一、总体要求</w:t>
      </w:r>
    </w:p>
    <w:p w14:paraId="55CE637D">
      <w:pPr>
        <w:topLinePunct/>
        <w:spacing w:line="560" w:lineRule="exact"/>
        <w:ind w:firstLine="616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pacing w:val="-6"/>
          <w:sz w:val="32"/>
          <w:szCs w:val="32"/>
        </w:rPr>
        <w:t>为深入贯彻落实《教育强国建设规划纲要（</w:t>
      </w:r>
      <w:r>
        <w:rPr>
          <w:rFonts w:ascii="仿宋_GB2312" w:hAnsi="Times New Roman" w:eastAsia="仿宋_GB2312"/>
          <w:color w:val="000000"/>
          <w:spacing w:val="-6"/>
          <w:sz w:val="32"/>
          <w:szCs w:val="32"/>
        </w:rPr>
        <w:t>2024-2035</w:t>
      </w:r>
      <w:r>
        <w:rPr>
          <w:rFonts w:hint="eastAsia" w:ascii="仿宋_GB2312" w:hAnsi="Times New Roman" w:eastAsia="仿宋_GB2312"/>
          <w:color w:val="000000"/>
          <w:spacing w:val="-6"/>
          <w:sz w:val="32"/>
          <w:szCs w:val="32"/>
        </w:rPr>
        <w:t>年）》和国家、省、市关于教育数字化、人工智能赋能教育的部署要求，主动对接泉州市“数智强师”工作及“百千万”工程相关安排，坚持以教师发展为中心、以教育教学应用为重点、以项目实践为牵引、以成果转化为导向，建立“县级统筹、进修学校实施、学校支持、教师实践”的协同机制，分层培养一批善用人工智能、具备示范引领能力的应用型教师，形成可复制、可推广的县域实践成果，稳步打造具有安溪特色的“数智强师”品牌，特制定本方案。</w:t>
      </w:r>
    </w:p>
    <w:p w14:paraId="1A9941EF">
      <w:pPr>
        <w:topLinePunct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本方案坚持普及提升与重点培育相结合、个人成长与学校实践相结合、鼓励创新与安全规范相结合。实施中合理控制县级活动频次和材料报送数量，以学年任务清单和代表性成果为主要抓手，提升培养工作的连续性和可操作性。</w:t>
      </w:r>
    </w:p>
    <w:p w14:paraId="04BB2FFF">
      <w:pPr>
        <w:topLinePunct/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二、工作目标</w:t>
      </w:r>
    </w:p>
    <w:p w14:paraId="209F3125">
      <w:pPr>
        <w:topLinePunct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以三年为周期，围绕“选苗、育苗、成材”主线，构建“种子教师</w:t>
      </w:r>
      <w:r>
        <w:rPr>
          <w:rFonts w:ascii="仿宋_GB2312" w:hAnsi="Times New Roman" w:eastAsia="仿宋_GB2312"/>
          <w:color w:val="000000"/>
          <w:sz w:val="32"/>
          <w:szCs w:val="32"/>
        </w:rPr>
        <w:t>—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项目核心成员</w:t>
      </w:r>
      <w:r>
        <w:rPr>
          <w:rFonts w:ascii="仿宋_GB2312" w:hAnsi="Times New Roman" w:eastAsia="仿宋_GB2312"/>
          <w:color w:val="000000"/>
          <w:sz w:val="32"/>
          <w:szCs w:val="32"/>
        </w:rPr>
        <w:t>—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数智导师”三级递进式成长梯队，系统推进种子教师培养、导师队伍建设、实践基地打造和典型案例孵化，推动全县各级各类学校教师数智素养与智能应用水平整体提升。具体目标：</w:t>
      </w:r>
    </w:p>
    <w:p w14:paraId="47FDB867">
      <w:pPr>
        <w:topLinePunct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（一）遴选</w:t>
      </w:r>
      <w:r>
        <w:rPr>
          <w:rFonts w:ascii="仿宋_GB2312" w:hAnsi="Times New Roman" w:eastAsia="仿宋_GB2312"/>
          <w:color w:val="000000"/>
          <w:sz w:val="32"/>
          <w:szCs w:val="32"/>
        </w:rPr>
        <w:t>100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名左右种子教师，建立覆盖全县各级各类学校的数智强师培养库。</w:t>
      </w:r>
    </w:p>
    <w:p w14:paraId="1885ADB3">
      <w:pPr>
        <w:topLinePunct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（二）三年内培养认定</w:t>
      </w:r>
      <w:r>
        <w:rPr>
          <w:rFonts w:ascii="仿宋_GB2312" w:hAnsi="Times New Roman" w:eastAsia="仿宋_GB2312"/>
          <w:color w:val="000000"/>
          <w:sz w:val="32"/>
          <w:szCs w:val="32"/>
        </w:rPr>
        <w:t>20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名左右县级数智导师，择优推荐参加市级相关遴选。</w:t>
      </w:r>
    </w:p>
    <w:p w14:paraId="6BA4D478">
      <w:pPr>
        <w:topLinePunct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（三）建设</w:t>
      </w:r>
      <w:r>
        <w:rPr>
          <w:rFonts w:ascii="仿宋_GB2312" w:hAnsi="Times New Roman" w:eastAsia="仿宋_GB2312"/>
          <w:color w:val="000000"/>
          <w:sz w:val="32"/>
          <w:szCs w:val="32"/>
        </w:rPr>
        <w:t>5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所数智教育实践基地，承担课堂实践、联合教研、培训展示和成果验证等功能。</w:t>
      </w:r>
    </w:p>
    <w:p w14:paraId="7F5A3AE8">
      <w:pPr>
        <w:topLinePunct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（四）围绕助教、助学、助研、助评、助育、助管等高频场景，形成一批课例、案例、研究成果和培训资源。</w:t>
      </w:r>
    </w:p>
    <w:p w14:paraId="3234FE21">
      <w:pPr>
        <w:topLinePunct/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三、培养对象与梯队建设</w:t>
      </w:r>
    </w:p>
    <w:p w14:paraId="39C23FEA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（一）遴选种子教师。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坚持师德师风第一标准，面向全县各级各类学校在岗教师开展遴选。申报对象应认同项目理念，具有较强学习意愿和实践意识，能够围绕教育教学、教研培训、班级管理或学校治理等场景开展人工智能应用。推荐时兼顾学校管理者、学科教师、教研人员和信息科技教师，适当向有实践基础或承担相关项目的教师倾斜。遴选采取个人申报、学校推荐、县级审核的方式进行。首轮确定</w:t>
      </w:r>
      <w:r>
        <w:rPr>
          <w:rFonts w:ascii="仿宋_GB2312" w:hAnsi="Times New Roman" w:eastAsia="仿宋_GB2312"/>
          <w:color w:val="000000"/>
          <w:sz w:val="32"/>
          <w:szCs w:val="32"/>
        </w:rPr>
        <w:t>100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人纳入培养库，建立个人简要成长档案。</w:t>
      </w:r>
    </w:p>
    <w:p w14:paraId="12273BE8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（二）确定核心成员。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每学年根据培养库成员的研修参与、实践成果和团队贡献，择优确定</w:t>
      </w:r>
      <w:r>
        <w:rPr>
          <w:rFonts w:ascii="仿宋_GB2312" w:hAnsi="Times New Roman" w:eastAsia="仿宋_GB2312"/>
          <w:color w:val="000000"/>
          <w:sz w:val="32"/>
          <w:szCs w:val="32"/>
        </w:rPr>
        <w:t>30—40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名项目核心成员，围绕重点场景组建若干项目小组，承担场景试验、案例打磨、成果分享等任务。项目核心成员是县级数智导师的主要培养对象。</w:t>
      </w:r>
    </w:p>
    <w:p w14:paraId="742AC5EC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（三）认定数智导师。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县级数智导师从项目核心成员中择优产生，重点考察师德表现、数智素养、学科融合能力、成果质量、培训表达能力和团队指导能力。认定对象原则上应形成</w:t>
      </w:r>
      <w:r>
        <w:rPr>
          <w:rFonts w:ascii="仿宋_GB2312" w:hAnsi="Times New Roman" w:eastAsia="仿宋_GB2312"/>
          <w:color w:val="000000"/>
          <w:sz w:val="32"/>
          <w:szCs w:val="32"/>
        </w:rPr>
        <w:t>1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项较为成熟的人工智能赋能教育实践成果，承担过县级或片区交流展示，能够指导项目小组或同伴开展实践。实行涵盖培养研修、试讲考核、实践指导、综合评价等环节的认定机制，分批培养、分批认定。</w:t>
      </w:r>
    </w:p>
    <w:p w14:paraId="4585946B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（四）实行动态管理。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培养库实行年度确认和动态调整机制，库内规模原则上保持</w:t>
      </w:r>
      <w:r>
        <w:rPr>
          <w:rFonts w:ascii="仿宋_GB2312" w:hAnsi="Times New Roman" w:eastAsia="仿宋_GB2312"/>
          <w:color w:val="000000"/>
          <w:sz w:val="32"/>
          <w:szCs w:val="32"/>
        </w:rPr>
        <w:t>100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名左右。成员资格根据年度任务完成情况进行确认，对不符合培养要求的及时调整，对符合条件的库外教师按程序递补。成员每学年应完成规定研修、</w:t>
      </w:r>
      <w:r>
        <w:rPr>
          <w:rFonts w:ascii="仿宋_GB2312" w:hAnsi="Times New Roman" w:eastAsia="仿宋_GB2312"/>
          <w:color w:val="000000"/>
          <w:sz w:val="32"/>
          <w:szCs w:val="32"/>
        </w:rPr>
        <w:t>1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项校本实践和</w:t>
      </w:r>
      <w:r>
        <w:rPr>
          <w:rFonts w:ascii="仿宋_GB2312" w:hAnsi="Times New Roman" w:eastAsia="仿宋_GB2312"/>
          <w:color w:val="000000"/>
          <w:sz w:val="32"/>
          <w:szCs w:val="32"/>
        </w:rPr>
        <w:t>1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份代表性成果材料。对主动申请退出的，按程序移出；对无正当理由缺训、长期不参与培养活动或者未完成年度最低任务的，先行提醒整改；经提醒仍未完成的，按照实施方案动态管理有关规定调整退出；对形成较好成果、学习意愿强且经学校推荐的教师，可根据空缺及时递补。县级数智导师实行年度履职评价，对无法履职或评价未达基本要求的，及时进行调整。</w:t>
      </w:r>
    </w:p>
    <w:p w14:paraId="109958BF">
      <w:pPr>
        <w:topLinePunct/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四、重点任务</w:t>
      </w:r>
    </w:p>
    <w:p w14:paraId="432F1A1C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（一）开展基础研修。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围绕人工智能基础知识、常用工具、提示词与技能、学科融合、生成内容核验、数据安全与伦理等内容，每学年组织不超过</w:t>
      </w:r>
      <w:r>
        <w:rPr>
          <w:rFonts w:ascii="仿宋_GB2312" w:hAnsi="Times New Roman" w:eastAsia="仿宋_GB2312"/>
          <w:color w:val="000000"/>
          <w:sz w:val="32"/>
          <w:szCs w:val="32"/>
        </w:rPr>
        <w:t>2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次县级集中研修，其他学习依托线上资源、校本教研和项目实践完成。将人工智能通识与基础应用逐步纳入新教师培训。</w:t>
      </w:r>
    </w:p>
    <w:p w14:paraId="23E0B766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（二）实施项目培养。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围绕备课设计、课堂教学、作业设计、学业评价、校本教研、教师培训、学生发展和学校治理等真实问题发布年度项目方向。项目核心成员自主选择场景，组建小规模项目组，围绕一个真实问题、经历一轮实践改进、形成一项代表性成果。</w:t>
      </w:r>
    </w:p>
    <w:p w14:paraId="2DCD76FB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（三）加强案例打磨。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每学年集中组织</w:t>
      </w:r>
      <w:r>
        <w:rPr>
          <w:rFonts w:ascii="仿宋_GB2312" w:hAnsi="Times New Roman" w:eastAsia="仿宋_GB2312"/>
          <w:color w:val="000000"/>
          <w:sz w:val="32"/>
          <w:szCs w:val="32"/>
        </w:rPr>
        <w:t>1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次人工智能赋能教育教学案例征集、展示或交流活动。案例应说明真实问题、应用过程、教师作用、实际成效、局限风险及改进方向，避免停留在工具功能展示层面。案例成果作为项目核心成员确定、导师认定和实践基地认定的重要依据。</w:t>
      </w:r>
    </w:p>
    <w:p w14:paraId="188E9DCE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（四）推进导师成长。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为导师培养对象提供试讲、专题分享、同伴指导和案例评审机会。根据年度任务，安排若干基础较好的教师协助县级培训、线上答疑和项目指导，在履职实践中考察和提升其培训引领能力。</w:t>
      </w:r>
    </w:p>
    <w:p w14:paraId="022D497C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（五）建设实践基地。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第一学年确定</w:t>
      </w:r>
      <w:r>
        <w:rPr>
          <w:rFonts w:ascii="仿宋_GB2312" w:hAnsi="Times New Roman" w:eastAsia="仿宋_GB2312"/>
          <w:color w:val="000000"/>
          <w:sz w:val="32"/>
          <w:szCs w:val="32"/>
        </w:rPr>
        <w:t>3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所实践基地培育校，开展课堂实践、联合教研和成果验证；第二学年组织评估，择优认定县级数智教育实践基地，并根据工作需要增补培育对象，三年内认定</w:t>
      </w:r>
      <w:r>
        <w:rPr>
          <w:rFonts w:ascii="仿宋_GB2312" w:hAnsi="Times New Roman" w:eastAsia="仿宋_GB2312"/>
          <w:color w:val="000000"/>
          <w:sz w:val="32"/>
          <w:szCs w:val="32"/>
        </w:rPr>
        <w:t>5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所左右。依托基地开展课堂观摩、联合磨课、成果验证和片区交流，活动与既有教研、培训和智慧校园建设任务统筹安排。</w:t>
      </w:r>
    </w:p>
    <w:p w14:paraId="311561A1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（六）促进成果共享。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依托“泉教育”平台，分类归集优质课例、案例、微工具、资源包和研究成果。推行“一项成果一次提交、多个场景共享使用”机制，择优向市级以上活动和平台推荐。</w:t>
      </w:r>
    </w:p>
    <w:p w14:paraId="0A100188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（七）带动全员提升。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发挥培养库成员和数智导师的带动辐射作用，通过专题分享、协同备课、案例复盘等简便方式带动教师提升人工智能应用能力。鼓励各校结合教师实际需求开展普及性培训，逐步扩大覆盖面。</w:t>
      </w:r>
    </w:p>
    <w:p w14:paraId="06094DE9">
      <w:pPr>
        <w:topLinePunct/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五、实施步骤</w:t>
      </w:r>
    </w:p>
    <w:p w14:paraId="2F06914A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（一）</w:t>
      </w:r>
      <w:r>
        <w:rPr>
          <w:rFonts w:ascii="楷体_GB2312" w:hAnsi="Times New Roman" w:eastAsia="楷体_GB2312"/>
          <w:b/>
          <w:color w:val="000000"/>
          <w:sz w:val="32"/>
          <w:szCs w:val="32"/>
        </w:rPr>
        <w:t>2026-2027</w:t>
      </w: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学年：</w:t>
      </w:r>
      <w:r>
        <w:rPr>
          <w:rFonts w:hint="eastAsia" w:ascii="仿宋_GB2312" w:hAnsi="Times New Roman" w:eastAsia="仿宋_GB2312"/>
          <w:b/>
          <w:color w:val="000000"/>
          <w:sz w:val="32"/>
          <w:szCs w:val="32"/>
        </w:rPr>
        <w:t>建库起步。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完成种子教师首轮遴选并建立培养库，启动基础研修，动态确定项目核心成员并组建项目小组，确定首批实践基地。</w:t>
      </w:r>
    </w:p>
    <w:p w14:paraId="1204BEDB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（二）</w:t>
      </w:r>
      <w:r>
        <w:rPr>
          <w:rFonts w:ascii="楷体_GB2312" w:hAnsi="Times New Roman" w:eastAsia="楷体_GB2312"/>
          <w:b/>
          <w:color w:val="000000"/>
          <w:sz w:val="32"/>
          <w:szCs w:val="32"/>
        </w:rPr>
        <w:t>2027-2028</w:t>
      </w: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学年：</w:t>
      </w:r>
      <w:r>
        <w:rPr>
          <w:rFonts w:hint="eastAsia" w:ascii="仿宋_GB2312" w:hAnsi="Times New Roman" w:eastAsia="仿宋_GB2312"/>
          <w:b/>
          <w:color w:val="000000"/>
          <w:sz w:val="32"/>
          <w:szCs w:val="32"/>
        </w:rPr>
        <w:t>深化实践。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认定首批县级数智导师，依托项目小组深化学科融合实践，择优认定县级数智教育实践基地，向市级相关活动推荐人员与成果。</w:t>
      </w:r>
    </w:p>
    <w:p w14:paraId="7E254292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（三）</w:t>
      </w:r>
      <w:r>
        <w:rPr>
          <w:rFonts w:ascii="楷体_GB2312" w:hAnsi="Times New Roman" w:eastAsia="楷体_GB2312"/>
          <w:b/>
          <w:color w:val="000000"/>
          <w:sz w:val="32"/>
          <w:szCs w:val="32"/>
        </w:rPr>
        <w:t>2028-2029</w:t>
      </w: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学年：</w:t>
      </w:r>
      <w:r>
        <w:rPr>
          <w:rFonts w:hint="eastAsia" w:ascii="仿宋_GB2312" w:hAnsi="Times New Roman" w:eastAsia="仿宋_GB2312"/>
          <w:b/>
          <w:color w:val="000000"/>
          <w:sz w:val="32"/>
          <w:szCs w:val="32"/>
        </w:rPr>
        <w:t>总结推广。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完成培养周期综合评价，汇编优秀成果，固化工作机制，三年累计培养认定</w:t>
      </w:r>
      <w:r>
        <w:rPr>
          <w:rFonts w:ascii="仿宋_GB2312" w:hAnsi="Times New Roman" w:eastAsia="仿宋_GB2312"/>
          <w:color w:val="000000"/>
          <w:sz w:val="32"/>
          <w:szCs w:val="32"/>
        </w:rPr>
        <w:t>20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名左右县级数智导师。</w:t>
      </w:r>
    </w:p>
    <w:p w14:paraId="2FEA9375">
      <w:pPr>
        <w:topLinePunct/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六、考核评价</w:t>
      </w:r>
    </w:p>
    <w:p w14:paraId="39B4F328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（一）坚持简明评价。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建立“一人一档、一学年一评、代表性成果归集”的评价方式，主要依据培训参与记录、校本实践成果、团队贡献和示范引领情况进行综合判断。能够通过平台记录、活动材料和成果作品直接认定的，不再要求重复填报。</w:t>
      </w:r>
    </w:p>
    <w:p w14:paraId="0148FB9D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（二）实施分类评价。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种子教师重点评价学习参与和实践完成情况；项目核心成员重点评价项目推进、成果质量和协作贡献；数智导师重点评价培训授课、项目指导、案例评审和辐射带动；实践基地重点评价组织支持、应用成效、成果共享和安全规范。</w:t>
      </w:r>
    </w:p>
    <w:p w14:paraId="33752B10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（三）强化结果运用。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根据年度评价结果，对表现突出的递进纳入更高层级培养或认定为数智导师；对达到基本要求的继续参加下一阶段研修实践；对不符合条件的按动态管理相关规定处理。评价结果同时作为市级项目推荐、县级培训授课、案例推介及相关评选评优的重要参考。每学年集中开展</w:t>
      </w:r>
      <w:r>
        <w:rPr>
          <w:rFonts w:ascii="仿宋_GB2312" w:hAnsi="Times New Roman" w:eastAsia="仿宋_GB2312"/>
          <w:color w:val="000000"/>
          <w:sz w:val="32"/>
          <w:szCs w:val="32"/>
        </w:rPr>
        <w:t>1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次成员确认和成果审核，按程序确定继续培养、递进培养或调整退出名单，并及时递补符合条件的教师。</w:t>
      </w:r>
    </w:p>
    <w:p w14:paraId="2A92D777">
      <w:pPr>
        <w:topLinePunct/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七、组织保障</w:t>
      </w:r>
    </w:p>
    <w:p w14:paraId="46892C34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（一）强化统筹实施。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县教育局负责政策统筹和工作指导，县教师进修学校负责培养对象遴选、研修组织、项目协调、成果归集和导师培养等具体工作。根据年度重点任务，从教研员、学校管理者、信息科技教师、项目核心成员和导师培养对象中组建工作小组，实行项目协同。</w:t>
      </w:r>
    </w:p>
    <w:p w14:paraId="3BBC4799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（二）夯实校本支撑。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培养库成员所在学校原则上明确</w:t>
      </w:r>
      <w:r>
        <w:rPr>
          <w:rFonts w:ascii="仿宋_GB2312" w:hAnsi="Times New Roman" w:eastAsia="仿宋_GB2312"/>
          <w:color w:val="000000"/>
          <w:sz w:val="32"/>
          <w:szCs w:val="32"/>
        </w:rPr>
        <w:t>1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名联络人，协助做好通知传达、校内支持和材料初审。各校应统筹现有设施设备、平台资源、校本教研和培训经费，为培养对象开展实践提供必要条件，避免重复投入、盲目建设。</w:t>
      </w:r>
    </w:p>
    <w:p w14:paraId="2863C8D3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（三）加强专业指导。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根据工作需要邀请高校专家、县教研员、一线优秀教师和技术人员开展专题指导。充分发挥项目核心成员和县级数智导师作用，逐步提升县域自主培训、案例指导和项目推进能力。</w:t>
      </w:r>
    </w:p>
    <w:p w14:paraId="7E3BDBA3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（四）守牢安全底线。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严格落实数据安全、个人信息保护、知识产权和人工智能伦理要求。涉及师生个人信息、考试评价、未成年人数据及未公开教育数据的，应按照有关规定进行脱敏、审核和授权。人工智能生成内容须经教师核验后使用，不得以工具输出代替教师专业判断。</w:t>
      </w:r>
    </w:p>
    <w:p w14:paraId="6375864C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Times New Roman" w:eastAsia="楷体_GB2312"/>
          <w:b/>
          <w:color w:val="000000"/>
          <w:sz w:val="32"/>
          <w:szCs w:val="32"/>
        </w:rPr>
        <w:t>（五）规范宣传推广。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及时总结可验证、有实效的典型经验，客观呈现人工智能应用的作用、条件与局限。未经审核的师生数据、案例材料和生成内容不得对外发布，确保项目安全、规范、有序实施。</w:t>
      </w:r>
    </w:p>
    <w:p w14:paraId="7B7D6AB5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</w:p>
    <w:p w14:paraId="68B63874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</w:p>
    <w:p w14:paraId="26BC9191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</w:p>
    <w:p w14:paraId="10AAF3B1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</w:p>
    <w:p w14:paraId="13DD1F2A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</w:p>
    <w:p w14:paraId="623A1744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</w:p>
    <w:p w14:paraId="18A5395F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</w:p>
    <w:p w14:paraId="24D44BD9">
      <w:pPr>
        <w:topLinePunct/>
        <w:spacing w:line="56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701" w:left="1531" w:header="851" w:footer="1418" w:gutter="0"/>
      <w:pgNumType w:fmt="numberInDash"/>
      <w:cols w:space="0" w:num="1"/>
      <w:titlePg/>
      <w:rtlGutter w:val="1"/>
      <w:docGrid w:type="linesAndChars" w:linePitch="534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6B430F-FD9D-400D-AE85-11A81E29B48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176FF9DF-02CB-4553-A62A-60CDDC909AB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053109AA-D291-41D1-9DEC-A99ACD43F1DD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汉仪旗黑KW 55S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8B0154A-F24E-45EE-BD32-B330A70B77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B2A93">
    <w:pPr>
      <w:pStyle w:val="12"/>
      <w:framePr w:wrap="around" w:vAnchor="text" w:hAnchor="margin" w:xAlign="outside" w:y="1"/>
      <w:rPr>
        <w:rStyle w:val="21"/>
        <w:rFonts w:ascii="宋体" w:hAnsi="宋体" w:eastAsia="宋体"/>
        <w:sz w:val="28"/>
        <w:szCs w:val="28"/>
      </w:rPr>
    </w:pPr>
    <w:r>
      <w:rPr>
        <w:rStyle w:val="21"/>
        <w:rFonts w:ascii="宋体" w:hAnsi="宋体" w:eastAsia="宋体"/>
        <w:sz w:val="28"/>
        <w:szCs w:val="28"/>
      </w:rPr>
      <w:fldChar w:fldCharType="begin"/>
    </w:r>
    <w:r>
      <w:rPr>
        <w:rStyle w:val="21"/>
        <w:rFonts w:ascii="宋体" w:hAnsi="宋体" w:eastAsia="宋体"/>
        <w:sz w:val="28"/>
        <w:szCs w:val="28"/>
      </w:rPr>
      <w:instrText xml:space="preserve">PAGE  </w:instrText>
    </w:r>
    <w:r>
      <w:rPr>
        <w:rStyle w:val="21"/>
        <w:rFonts w:ascii="宋体" w:hAnsi="宋体" w:eastAsia="宋体"/>
        <w:sz w:val="28"/>
        <w:szCs w:val="28"/>
      </w:rPr>
      <w:fldChar w:fldCharType="separate"/>
    </w:r>
    <w:r>
      <w:rPr>
        <w:rStyle w:val="21"/>
        <w:rFonts w:ascii="宋体" w:hAnsi="宋体" w:eastAsia="宋体"/>
        <w:sz w:val="28"/>
        <w:szCs w:val="28"/>
      </w:rPr>
      <w:t>- 2 -</w:t>
    </w:r>
    <w:r>
      <w:rPr>
        <w:rStyle w:val="21"/>
        <w:rFonts w:ascii="宋体" w:hAnsi="宋体" w:eastAsia="宋体"/>
        <w:sz w:val="28"/>
        <w:szCs w:val="28"/>
      </w:rPr>
      <w:fldChar w:fldCharType="end"/>
    </w:r>
  </w:p>
  <w:p w14:paraId="4BBF93EC">
    <w:pPr>
      <w:pStyle w:val="12"/>
      <w:ind w:right="360" w:firstLine="360"/>
      <w:jc w:val="center"/>
      <w:rPr>
        <w:rFonts w:ascii="宋体" w:hAnsi="宋体" w:eastAsia="宋体"/>
        <w:sz w:val="24"/>
      </w:rPr>
    </w:pPr>
  </w:p>
  <w:p w14:paraId="5A1CE5DC">
    <w:pPr>
      <w:pStyle w:val="12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5392F">
    <w:pPr>
      <w:pStyle w:val="12"/>
      <w:framePr w:wrap="around" w:vAnchor="text" w:hAnchor="margin" w:xAlign="outside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end"/>
    </w:r>
  </w:p>
  <w:p w14:paraId="0A84760A">
    <w:pPr>
      <w:pStyle w:val="1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C5ED8">
    <w:pPr>
      <w:pStyle w:val="1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B58F1">
    <w:pPr>
      <w:pStyle w:val="1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667DC">
    <w:pPr>
      <w:pStyle w:val="1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267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00478A9"/>
    <w:rsid w:val="0006614C"/>
    <w:rsid w:val="00094C83"/>
    <w:rsid w:val="001267D1"/>
    <w:rsid w:val="0017321D"/>
    <w:rsid w:val="001B0637"/>
    <w:rsid w:val="001F5584"/>
    <w:rsid w:val="00231FF2"/>
    <w:rsid w:val="00256EAA"/>
    <w:rsid w:val="002A7189"/>
    <w:rsid w:val="00300CDA"/>
    <w:rsid w:val="00303881"/>
    <w:rsid w:val="00324A61"/>
    <w:rsid w:val="00354FF0"/>
    <w:rsid w:val="003744A6"/>
    <w:rsid w:val="003B5812"/>
    <w:rsid w:val="003B727D"/>
    <w:rsid w:val="003F15CB"/>
    <w:rsid w:val="003F6AF1"/>
    <w:rsid w:val="004551B0"/>
    <w:rsid w:val="0046324E"/>
    <w:rsid w:val="00491F7B"/>
    <w:rsid w:val="004A14B1"/>
    <w:rsid w:val="004F0EF3"/>
    <w:rsid w:val="00505FB0"/>
    <w:rsid w:val="00507548"/>
    <w:rsid w:val="0053330A"/>
    <w:rsid w:val="005527D9"/>
    <w:rsid w:val="005829DA"/>
    <w:rsid w:val="00583330"/>
    <w:rsid w:val="00583B05"/>
    <w:rsid w:val="00591772"/>
    <w:rsid w:val="005A5F52"/>
    <w:rsid w:val="005B2A4F"/>
    <w:rsid w:val="006054C5"/>
    <w:rsid w:val="00646612"/>
    <w:rsid w:val="0065701E"/>
    <w:rsid w:val="006712DD"/>
    <w:rsid w:val="00675781"/>
    <w:rsid w:val="006B69C6"/>
    <w:rsid w:val="007019CA"/>
    <w:rsid w:val="00707003"/>
    <w:rsid w:val="00720D79"/>
    <w:rsid w:val="00742378"/>
    <w:rsid w:val="0074661F"/>
    <w:rsid w:val="00781EA4"/>
    <w:rsid w:val="007B6477"/>
    <w:rsid w:val="007D4CAB"/>
    <w:rsid w:val="007D7B78"/>
    <w:rsid w:val="007E267F"/>
    <w:rsid w:val="008251E9"/>
    <w:rsid w:val="00827168"/>
    <w:rsid w:val="008754ED"/>
    <w:rsid w:val="008B3C27"/>
    <w:rsid w:val="008D1062"/>
    <w:rsid w:val="009144F5"/>
    <w:rsid w:val="00932F14"/>
    <w:rsid w:val="009473B8"/>
    <w:rsid w:val="009512C2"/>
    <w:rsid w:val="009541A9"/>
    <w:rsid w:val="00967789"/>
    <w:rsid w:val="009816E4"/>
    <w:rsid w:val="00992182"/>
    <w:rsid w:val="009938B1"/>
    <w:rsid w:val="009A4F67"/>
    <w:rsid w:val="009E6B36"/>
    <w:rsid w:val="009F65D9"/>
    <w:rsid w:val="00A21966"/>
    <w:rsid w:val="00A31F2C"/>
    <w:rsid w:val="00A33EE4"/>
    <w:rsid w:val="00A54BFC"/>
    <w:rsid w:val="00A77F20"/>
    <w:rsid w:val="00AC1EB8"/>
    <w:rsid w:val="00AD6A7E"/>
    <w:rsid w:val="00AE103E"/>
    <w:rsid w:val="00AE12CE"/>
    <w:rsid w:val="00B10217"/>
    <w:rsid w:val="00B407D6"/>
    <w:rsid w:val="00BB2D3F"/>
    <w:rsid w:val="00BC255D"/>
    <w:rsid w:val="00C01CDE"/>
    <w:rsid w:val="00C16DD9"/>
    <w:rsid w:val="00C26D13"/>
    <w:rsid w:val="00C313B3"/>
    <w:rsid w:val="00C3245F"/>
    <w:rsid w:val="00C5636F"/>
    <w:rsid w:val="00C90E74"/>
    <w:rsid w:val="00CB3F84"/>
    <w:rsid w:val="00D30F4B"/>
    <w:rsid w:val="00D349AB"/>
    <w:rsid w:val="00D60731"/>
    <w:rsid w:val="00D626F8"/>
    <w:rsid w:val="00DB0EF2"/>
    <w:rsid w:val="00DD5547"/>
    <w:rsid w:val="00DD6925"/>
    <w:rsid w:val="00DF4262"/>
    <w:rsid w:val="00E002CE"/>
    <w:rsid w:val="00E97205"/>
    <w:rsid w:val="00EA43DE"/>
    <w:rsid w:val="00EE0227"/>
    <w:rsid w:val="00F13895"/>
    <w:rsid w:val="00F20E01"/>
    <w:rsid w:val="00F23598"/>
    <w:rsid w:val="00F26F72"/>
    <w:rsid w:val="00F37142"/>
    <w:rsid w:val="00F87704"/>
    <w:rsid w:val="00F929A3"/>
    <w:rsid w:val="00FA29FA"/>
    <w:rsid w:val="00FA4CAE"/>
    <w:rsid w:val="00FA5119"/>
    <w:rsid w:val="07011CC2"/>
    <w:rsid w:val="07644792"/>
    <w:rsid w:val="09284798"/>
    <w:rsid w:val="0F2B6FD9"/>
    <w:rsid w:val="16DC6D4C"/>
    <w:rsid w:val="183C240D"/>
    <w:rsid w:val="1AA24D9F"/>
    <w:rsid w:val="28DA2E89"/>
    <w:rsid w:val="2A4254F9"/>
    <w:rsid w:val="2D1F32F4"/>
    <w:rsid w:val="2DBB6AB9"/>
    <w:rsid w:val="323B4D81"/>
    <w:rsid w:val="333F66E2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5F2F7F99"/>
    <w:rsid w:val="6738160F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4489F"/>
    <w:rsid w:val="7FD7E9A0"/>
    <w:rsid w:val="7FE9FBB2"/>
    <w:rsid w:val="8FFFA67E"/>
    <w:rsid w:val="9FF6FEA6"/>
    <w:rsid w:val="A97F623E"/>
    <w:rsid w:val="AFBF8780"/>
    <w:rsid w:val="BA37E99F"/>
    <w:rsid w:val="BEEFCB4B"/>
    <w:rsid w:val="BFE6F841"/>
    <w:rsid w:val="BFFBC26D"/>
    <w:rsid w:val="C7FB1FFE"/>
    <w:rsid w:val="CEBD5EE6"/>
    <w:rsid w:val="D5DE8897"/>
    <w:rsid w:val="E7B59023"/>
    <w:rsid w:val="E7FE3684"/>
    <w:rsid w:val="EFFF70E4"/>
    <w:rsid w:val="F7EEC240"/>
    <w:rsid w:val="FBF75102"/>
    <w:rsid w:val="FDDC5620"/>
    <w:rsid w:val="FDEA700A"/>
    <w:rsid w:val="FFB7C5E8"/>
    <w:rsid w:val="FFBE64E4"/>
    <w:rsid w:val="FFBFCE42"/>
    <w:rsid w:val="FFDB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99" w:name="Balloon Text"/>
    <w:lsdException w:qFormat="1" w:unhideWhenUsed="0" w:uiPriority="99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9"/>
    <w:pPr>
      <w:keepNext/>
      <w:keepLines/>
      <w:widowControl/>
      <w:spacing w:line="560" w:lineRule="exact"/>
      <w:ind w:firstLine="894" w:firstLineChars="200"/>
      <w:jc w:val="left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link w:val="23"/>
    <w:qFormat/>
    <w:uiPriority w:val="99"/>
    <w:pPr>
      <w:keepNext/>
      <w:keepLines/>
      <w:widowControl/>
      <w:spacing w:line="560" w:lineRule="exact"/>
      <w:ind w:firstLine="894" w:firstLineChars="200"/>
      <w:jc w:val="left"/>
      <w:outlineLvl w:val="1"/>
    </w:pPr>
    <w:rPr>
      <w:rFonts w:ascii="Times New Roman" w:hAnsi="Times New Roman" w:eastAsia="楷体_GB2312"/>
      <w:kern w:val="0"/>
      <w:sz w:val="32"/>
      <w:szCs w:val="32"/>
    </w:rPr>
  </w:style>
  <w:style w:type="paragraph" w:styleId="4">
    <w:name w:val="heading 3"/>
    <w:basedOn w:val="1"/>
    <w:next w:val="1"/>
    <w:link w:val="24"/>
    <w:qFormat/>
    <w:uiPriority w:val="99"/>
    <w:pPr>
      <w:keepNext/>
      <w:keepLines/>
      <w:widowControl/>
      <w:spacing w:line="560" w:lineRule="exact"/>
      <w:ind w:firstLine="894" w:firstLineChars="200"/>
      <w:jc w:val="left"/>
      <w:outlineLvl w:val="2"/>
    </w:pPr>
    <w:rPr>
      <w:rFonts w:ascii="Times New Roman" w:hAnsi="Times New Roman" w:eastAsia="仿宋_GB2312"/>
      <w:kern w:val="0"/>
      <w:sz w:val="32"/>
      <w:szCs w:val="32"/>
    </w:rPr>
  </w:style>
  <w:style w:type="paragraph" w:styleId="5">
    <w:name w:val="heading 4"/>
    <w:basedOn w:val="1"/>
    <w:next w:val="1"/>
    <w:link w:val="25"/>
    <w:qFormat/>
    <w:uiPriority w:val="99"/>
    <w:pPr>
      <w:keepNext/>
      <w:keepLines/>
      <w:widowControl/>
      <w:spacing w:line="560" w:lineRule="exact"/>
      <w:ind w:firstLine="894" w:firstLineChars="200"/>
      <w:jc w:val="left"/>
      <w:outlineLvl w:val="3"/>
    </w:pPr>
    <w:rPr>
      <w:rFonts w:ascii="Times New Roman" w:hAnsi="Times New Roman" w:eastAsia="仿宋_GB2312" w:cs="仿宋_GB2312"/>
      <w:kern w:val="0"/>
      <w:sz w:val="32"/>
      <w:szCs w:val="32"/>
    </w:rPr>
  </w:style>
  <w:style w:type="paragraph" w:styleId="6">
    <w:name w:val="heading 5"/>
    <w:basedOn w:val="1"/>
    <w:next w:val="1"/>
    <w:link w:val="26"/>
    <w:qFormat/>
    <w:uiPriority w:val="99"/>
    <w:pPr>
      <w:widowControl/>
      <w:spacing w:line="560" w:lineRule="exact"/>
      <w:ind w:firstLine="894" w:firstLineChars="200"/>
      <w:jc w:val="left"/>
      <w:outlineLvl w:val="4"/>
    </w:pPr>
    <w:rPr>
      <w:rFonts w:ascii="Times New Roman" w:hAnsi="Times New Roman" w:eastAsia="仿宋_GB2312" w:cs="仿宋_GB2312"/>
      <w:kern w:val="0"/>
      <w:sz w:val="32"/>
      <w:szCs w:val="32"/>
    </w:rPr>
  </w:style>
  <w:style w:type="paragraph" w:styleId="7">
    <w:name w:val="heading 6"/>
    <w:basedOn w:val="1"/>
    <w:next w:val="1"/>
    <w:link w:val="27"/>
    <w:qFormat/>
    <w:uiPriority w:val="99"/>
    <w:pPr>
      <w:widowControl/>
      <w:spacing w:line="560" w:lineRule="exact"/>
      <w:ind w:firstLine="894" w:firstLineChars="200"/>
      <w:jc w:val="left"/>
      <w:outlineLvl w:val="5"/>
    </w:pPr>
    <w:rPr>
      <w:rFonts w:ascii="Times New Roman" w:hAnsi="Times New Roman" w:eastAsia="仿宋_GB2312" w:cs="仿宋_GB2312"/>
      <w:kern w:val="0"/>
      <w:sz w:val="32"/>
      <w:szCs w:val="32"/>
    </w:rPr>
  </w:style>
  <w:style w:type="paragraph" w:styleId="8">
    <w:name w:val="heading 7"/>
    <w:basedOn w:val="1"/>
    <w:next w:val="1"/>
    <w:link w:val="28"/>
    <w:qFormat/>
    <w:uiPriority w:val="99"/>
    <w:pPr>
      <w:widowControl/>
      <w:spacing w:line="560" w:lineRule="exact"/>
      <w:ind w:firstLine="894" w:firstLineChars="200"/>
      <w:jc w:val="left"/>
      <w:outlineLvl w:val="6"/>
    </w:pPr>
    <w:rPr>
      <w:rFonts w:ascii="Times New Roman" w:hAnsi="Times New Roman" w:eastAsia="仿宋_GB2312" w:cs="仿宋_GB2312"/>
      <w:kern w:val="0"/>
      <w:sz w:val="32"/>
      <w:szCs w:val="32"/>
    </w:rPr>
  </w:style>
  <w:style w:type="paragraph" w:styleId="9">
    <w:name w:val="heading 8"/>
    <w:basedOn w:val="1"/>
    <w:next w:val="1"/>
    <w:link w:val="29"/>
    <w:qFormat/>
    <w:uiPriority w:val="99"/>
    <w:pPr>
      <w:widowControl/>
      <w:spacing w:line="560" w:lineRule="exact"/>
      <w:ind w:firstLine="894" w:firstLineChars="200"/>
      <w:jc w:val="left"/>
      <w:outlineLvl w:val="7"/>
    </w:pPr>
    <w:rPr>
      <w:rFonts w:ascii="Times New Roman" w:hAnsi="Times New Roman" w:eastAsia="仿宋_GB2312" w:cs="仿宋_GB2312"/>
      <w:kern w:val="0"/>
      <w:sz w:val="32"/>
      <w:szCs w:val="32"/>
    </w:rPr>
  </w:style>
  <w:style w:type="paragraph" w:styleId="10">
    <w:name w:val="heading 9"/>
    <w:basedOn w:val="1"/>
    <w:next w:val="1"/>
    <w:link w:val="30"/>
    <w:qFormat/>
    <w:uiPriority w:val="99"/>
    <w:pPr>
      <w:widowControl/>
      <w:spacing w:line="560" w:lineRule="exact"/>
      <w:ind w:firstLine="894" w:firstLineChars="200"/>
      <w:jc w:val="left"/>
      <w:outlineLvl w:val="8"/>
    </w:pPr>
    <w:rPr>
      <w:rFonts w:ascii="Times New Roman" w:hAnsi="Times New Roman" w:eastAsia="仿宋_GB2312" w:cs="仿宋_GB2312"/>
      <w:kern w:val="0"/>
      <w:sz w:val="32"/>
      <w:szCs w:val="32"/>
    </w:rPr>
  </w:style>
  <w:style w:type="character" w:default="1" w:styleId="19">
    <w:name w:val="Default Paragraph Font"/>
    <w:semiHidden/>
    <w:qFormat/>
    <w:uiPriority w:val="99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1"/>
    <w:qFormat/>
    <w:uiPriority w:val="99"/>
    <w:pPr>
      <w:widowControl/>
      <w:spacing w:line="560" w:lineRule="exact"/>
      <w:ind w:firstLine="630" w:firstLineChars="200"/>
    </w:pPr>
    <w:rPr>
      <w:rFonts w:ascii="Times New Roman" w:hAnsi="Times New Roman" w:eastAsia="汉仪旗黑KW 55S"/>
      <w:spacing w:val="-6"/>
      <w:kern w:val="0"/>
      <w:sz w:val="32"/>
      <w:szCs w:val="32"/>
    </w:rPr>
  </w:style>
  <w:style w:type="paragraph" w:styleId="12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3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basedOn w:val="1"/>
    <w:link w:val="34"/>
    <w:qFormat/>
    <w:uiPriority w:val="99"/>
    <w:pPr>
      <w:widowControl/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99"/>
    <w:pPr>
      <w:jc w:val="left"/>
    </w:pPr>
    <w:rPr>
      <w:rFonts w:ascii="宋体" w:hAnsi="宋体" w:eastAsia="宋体"/>
      <w:kern w:val="0"/>
      <w:sz w:val="24"/>
    </w:rPr>
  </w:style>
  <w:style w:type="paragraph" w:styleId="16">
    <w:name w:val="Title"/>
    <w:basedOn w:val="1"/>
    <w:link w:val="35"/>
    <w:qFormat/>
    <w:uiPriority w:val="99"/>
    <w:pPr>
      <w:widowControl/>
      <w:spacing w:line="720" w:lineRule="exact"/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table" w:styleId="18">
    <w:name w:val="Table Grid"/>
    <w:basedOn w:val="1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99"/>
    <w:rPr>
      <w:rFonts w:cs="Times New Roman"/>
      <w:b/>
    </w:rPr>
  </w:style>
  <w:style w:type="character" w:styleId="21">
    <w:name w:val="page number"/>
    <w:basedOn w:val="19"/>
    <w:qFormat/>
    <w:uiPriority w:val="99"/>
    <w:rPr>
      <w:rFonts w:cs="Times New Roman"/>
    </w:rPr>
  </w:style>
  <w:style w:type="character" w:customStyle="1" w:styleId="22">
    <w:name w:val="Heading 1 Char"/>
    <w:basedOn w:val="19"/>
    <w:link w:val="2"/>
    <w:qFormat/>
    <w:uiPriority w:val="9"/>
    <w:rPr>
      <w:rFonts w:ascii="Arial" w:hAnsi="Arial" w:eastAsia="微软雅黑"/>
      <w:b/>
      <w:bCs/>
      <w:kern w:val="44"/>
      <w:sz w:val="44"/>
      <w:szCs w:val="44"/>
    </w:rPr>
  </w:style>
  <w:style w:type="character" w:customStyle="1" w:styleId="23">
    <w:name w:val="Heading 2 Char"/>
    <w:basedOn w:val="19"/>
    <w:link w:val="3"/>
    <w:qFormat/>
    <w:locked/>
    <w:uiPriority w:val="99"/>
    <w:rPr>
      <w:rFonts w:eastAsia="楷体_GB2312"/>
      <w:sz w:val="32"/>
    </w:rPr>
  </w:style>
  <w:style w:type="character" w:customStyle="1" w:styleId="24">
    <w:name w:val="Heading 3 Char"/>
    <w:basedOn w:val="19"/>
    <w:link w:val="4"/>
    <w:qFormat/>
    <w:locked/>
    <w:uiPriority w:val="99"/>
    <w:rPr>
      <w:rFonts w:eastAsia="仿宋_GB2312"/>
      <w:sz w:val="32"/>
    </w:rPr>
  </w:style>
  <w:style w:type="character" w:customStyle="1" w:styleId="25">
    <w:name w:val="Heading 4 Char"/>
    <w:basedOn w:val="19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Heading 5 Char"/>
    <w:basedOn w:val="19"/>
    <w:link w:val="6"/>
    <w:semiHidden/>
    <w:qFormat/>
    <w:uiPriority w:val="9"/>
    <w:rPr>
      <w:rFonts w:ascii="Arial" w:hAnsi="Arial" w:eastAsia="微软雅黑"/>
      <w:b/>
      <w:bCs/>
      <w:sz w:val="28"/>
      <w:szCs w:val="28"/>
    </w:rPr>
  </w:style>
  <w:style w:type="character" w:customStyle="1" w:styleId="27">
    <w:name w:val="Heading 6 Char"/>
    <w:basedOn w:val="19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Heading 7 Char"/>
    <w:basedOn w:val="19"/>
    <w:link w:val="8"/>
    <w:semiHidden/>
    <w:qFormat/>
    <w:uiPriority w:val="9"/>
    <w:rPr>
      <w:rFonts w:ascii="Arial" w:hAnsi="Arial" w:eastAsia="微软雅黑"/>
      <w:b/>
      <w:bCs/>
      <w:sz w:val="24"/>
      <w:szCs w:val="24"/>
    </w:rPr>
  </w:style>
  <w:style w:type="character" w:customStyle="1" w:styleId="29">
    <w:name w:val="Heading 8 Char"/>
    <w:basedOn w:val="19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0">
    <w:name w:val="Heading 9 Char"/>
    <w:basedOn w:val="19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1">
    <w:name w:val="Body Text Char"/>
    <w:basedOn w:val="19"/>
    <w:link w:val="11"/>
    <w:qFormat/>
    <w:locked/>
    <w:uiPriority w:val="99"/>
    <w:rPr>
      <w:rFonts w:eastAsia="汉仪旗黑KW 55S"/>
      <w:spacing w:val="-6"/>
      <w:sz w:val="32"/>
    </w:rPr>
  </w:style>
  <w:style w:type="character" w:customStyle="1" w:styleId="32">
    <w:name w:val="Footer Char"/>
    <w:basedOn w:val="19"/>
    <w:link w:val="12"/>
    <w:qFormat/>
    <w:locked/>
    <w:uiPriority w:val="99"/>
    <w:rPr>
      <w:rFonts w:ascii="Arial" w:hAnsi="Arial" w:eastAsia="微软雅黑" w:cs="Times New Roman"/>
      <w:kern w:val="2"/>
      <w:sz w:val="24"/>
      <w:szCs w:val="24"/>
    </w:rPr>
  </w:style>
  <w:style w:type="character" w:customStyle="1" w:styleId="33">
    <w:name w:val="Header Char"/>
    <w:basedOn w:val="19"/>
    <w:link w:val="13"/>
    <w:semiHidden/>
    <w:qFormat/>
    <w:uiPriority w:val="99"/>
    <w:rPr>
      <w:rFonts w:ascii="Arial" w:hAnsi="Arial" w:eastAsia="微软雅黑"/>
      <w:sz w:val="18"/>
      <w:szCs w:val="18"/>
    </w:rPr>
  </w:style>
  <w:style w:type="character" w:customStyle="1" w:styleId="34">
    <w:name w:val="Subtitle Char"/>
    <w:basedOn w:val="19"/>
    <w:link w:val="14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5">
    <w:name w:val="Title Char"/>
    <w:basedOn w:val="19"/>
    <w:link w:val="16"/>
    <w:qFormat/>
    <w:uiPriority w:val="10"/>
    <w:rPr>
      <w:rFonts w:asciiTheme="majorHAnsi" w:hAnsiTheme="majorHAnsi" w:cstheme="majorBidi"/>
      <w:b/>
      <w:bCs/>
      <w:sz w:val="32"/>
      <w:szCs w:val="32"/>
    </w:rPr>
  </w:style>
  <w:style w:type="paragraph" w:customStyle="1" w:styleId="36">
    <w:name w:val="主送对象"/>
    <w:next w:val="1"/>
    <w:qFormat/>
    <w:uiPriority w:val="99"/>
    <w:pPr>
      <w:spacing w:line="560" w:lineRule="exact"/>
    </w:pPr>
    <w:rPr>
      <w:rFonts w:ascii="Times New Roman" w:hAnsi="Times New Roman" w:eastAsia="仿宋_GB2312" w:cs="仿宋_GB2312"/>
      <w:kern w:val="0"/>
      <w:sz w:val="32"/>
      <w:szCs w:val="32"/>
      <w:lang w:val="en-US" w:eastAsia="zh-CN" w:bidi="ar-SA"/>
    </w:rPr>
  </w:style>
  <w:style w:type="character" w:customStyle="1" w:styleId="37">
    <w:name w:val="标题 2 Char"/>
    <w:qFormat/>
    <w:uiPriority w:val="99"/>
    <w:rPr>
      <w:rFonts w:ascii="Times New Roman" w:hAnsi="Times New Roman" w:eastAsia="楷体_GB2312"/>
      <w:sz w:val="32"/>
    </w:rPr>
  </w:style>
  <w:style w:type="character" w:customStyle="1" w:styleId="38">
    <w:name w:val="标题 2 Char1"/>
    <w:qFormat/>
    <w:uiPriority w:val="99"/>
    <w:rPr>
      <w:rFonts w:ascii="Times New Roman" w:hAnsi="Times New Roman" w:eastAsia="楷体_GB2312"/>
      <w:sz w:val="32"/>
    </w:rPr>
  </w:style>
  <w:style w:type="character" w:customStyle="1" w:styleId="39">
    <w:name w:val="标题 2 Char2"/>
    <w:qFormat/>
    <w:uiPriority w:val="99"/>
    <w:rPr>
      <w:rFonts w:ascii="Times New Roman" w:hAnsi="Times New Roman" w:eastAsia="楷体_GB2312"/>
      <w:sz w:val="32"/>
    </w:rPr>
  </w:style>
  <w:style w:type="character" w:customStyle="1" w:styleId="40">
    <w:name w:val="标题 2 Char3"/>
    <w:qFormat/>
    <w:uiPriority w:val="99"/>
    <w:rPr>
      <w:rFonts w:ascii="Times New Roman" w:hAnsi="Times New Roman" w:eastAsia="楷体_GB2312"/>
      <w:sz w:val="32"/>
    </w:rPr>
  </w:style>
  <w:style w:type="character" w:customStyle="1" w:styleId="41">
    <w:name w:val="标题 2 字符"/>
    <w:qFormat/>
    <w:uiPriority w:val="99"/>
    <w:rPr>
      <w:rFonts w:ascii="Times New Roman" w:hAnsi="Times New Roman" w:eastAsia="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7</Pages>
  <Words>3494</Words>
  <Characters>3551</Characters>
  <Lines>0</Lines>
  <Paragraphs>0</Paragraphs>
  <TotalTime>17</TotalTime>
  <ScaleCrop>false</ScaleCrop>
  <LinksUpToDate>false</LinksUpToDate>
  <CharactersWithSpaces>3657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2026-08-10T03:11:00Z</dcterms:created>
  <dc:creator>Administrator</dc:creator>
  <cp:lastModifiedBy>axjy</cp:lastModifiedBy>
  <dcterms:modified xsi:type="dcterms:W3CDTF">2026-08-28T00:36:57Z</dcterms:modified>
  <dc:title>安教〔2026〕128号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2458FCBDAEA849D58D3F331C2812DEFF_13</vt:lpwstr>
  </property>
  <property fmtid="{D5CDD505-2E9C-101B-9397-08002B2CF9AE}" pid="6" name="KSOTemplateDocerSaveRecord">
    <vt:lpwstr>eyJoZGlkIjoiYTVmNDU1YjY0MTM3YzRiNTBjMTE5OTkwYTI5YTM0NmIiLCJ1c2VySWQiOiI0NzA1NTEzNTAifQ==</vt:lpwstr>
  </property>
</Properties>
</file>