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rPr>
        <w:t>安溪县</w:t>
      </w:r>
      <w:r>
        <w:rPr>
          <w:rFonts w:hint="eastAsia" w:ascii="方正小标宋简体" w:hAnsi="方正小标宋简体" w:eastAsia="方正小标宋简体" w:cs="方正小标宋简体"/>
          <w:b w:val="0"/>
          <w:bCs/>
          <w:color w:val="000000"/>
          <w:kern w:val="0"/>
          <w:sz w:val="44"/>
          <w:szCs w:val="44"/>
          <w:lang w:eastAsia="zh-CN"/>
        </w:rPr>
        <w:t>科学技术局</w:t>
      </w:r>
      <w:r>
        <w:rPr>
          <w:rFonts w:hint="eastAsia" w:ascii="方正小标宋简体" w:hAnsi="方正小标宋简体" w:eastAsia="方正小标宋简体" w:cs="方正小标宋简体"/>
          <w:b w:val="0"/>
          <w:bCs/>
          <w:color w:val="000000"/>
          <w:kern w:val="0"/>
          <w:sz w:val="44"/>
          <w:szCs w:val="44"/>
          <w:lang w:val="en-US" w:eastAsia="zh-CN"/>
        </w:rPr>
        <w:t>2025年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政府信息公开工作年度报告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方正大标宋简体" w:hAnsi="宋体" w:eastAsia="方正大标宋简体" w:cs="宋体"/>
          <w:b/>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根据《中华人民共和国政府信息公开条例》（国务院令第711号）等要求，特编制并向社会公布安溪县</w:t>
      </w:r>
      <w:r>
        <w:rPr>
          <w:rFonts w:hint="eastAsia" w:ascii="仿宋_GB2312" w:hAnsi="仿宋_GB2312" w:eastAsia="仿宋_GB2312" w:cs="仿宋_GB2312"/>
          <w:color w:val="000000"/>
          <w:kern w:val="0"/>
          <w:sz w:val="32"/>
          <w:szCs w:val="32"/>
          <w:lang w:eastAsia="zh-CN"/>
        </w:rPr>
        <w:t>科学技术局</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政府信息公开工作年度报告。本报告由总体情况，主动公开政府信息情况，收到和处理政府信息公开申请情况，政府信息公开行政复议、行政诉讼情况，存在的主要问题及改进情况，其他需要报告的事项等六部分组成。本年报中所列数据的统计期限自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年1月1日起至202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年12月31日止。本年报电子版可在“安溪县政府门户网”（www.fjax.gov.cn）下载。如对本年报有疑问，请与安溪县</w:t>
      </w:r>
      <w:r>
        <w:rPr>
          <w:rFonts w:hint="eastAsia" w:ascii="仿宋_GB2312" w:hAnsi="仿宋_GB2312" w:eastAsia="仿宋_GB2312" w:cs="仿宋_GB2312"/>
          <w:color w:val="000000"/>
          <w:kern w:val="0"/>
          <w:sz w:val="32"/>
          <w:szCs w:val="32"/>
          <w:lang w:eastAsia="zh-CN"/>
        </w:rPr>
        <w:t>科学技术局</w:t>
      </w:r>
      <w:r>
        <w:rPr>
          <w:rFonts w:hint="eastAsia" w:ascii="仿宋_GB2312" w:hAnsi="仿宋_GB2312" w:eastAsia="仿宋_GB2312" w:cs="仿宋_GB2312"/>
          <w:color w:val="000000"/>
          <w:kern w:val="0"/>
          <w:sz w:val="32"/>
          <w:szCs w:val="32"/>
        </w:rPr>
        <w:t>联系（地址：安溪县</w:t>
      </w:r>
      <w:r>
        <w:rPr>
          <w:rFonts w:hint="eastAsia" w:ascii="仿宋_GB2312" w:hAnsi="仿宋_GB2312" w:eastAsia="仿宋_GB2312" w:cs="仿宋_GB2312"/>
          <w:color w:val="000000"/>
          <w:kern w:val="0"/>
          <w:sz w:val="32"/>
          <w:szCs w:val="32"/>
          <w:lang w:eastAsia="zh-CN"/>
        </w:rPr>
        <w:t>金融行政服务中心</w:t>
      </w:r>
      <w:r>
        <w:rPr>
          <w:rFonts w:hint="eastAsia" w:ascii="仿宋_GB2312" w:hAnsi="仿宋_GB2312" w:eastAsia="仿宋_GB2312" w:cs="仿宋_GB2312"/>
          <w:color w:val="000000"/>
          <w:kern w:val="0"/>
          <w:sz w:val="32"/>
          <w:szCs w:val="32"/>
          <w:lang w:val="en-US" w:eastAsia="zh-CN"/>
        </w:rPr>
        <w:t>6号楼B幢2203室</w:t>
      </w:r>
      <w:r>
        <w:rPr>
          <w:rFonts w:hint="eastAsia" w:ascii="仿宋_GB2312" w:hAnsi="仿宋_GB2312" w:eastAsia="仿宋_GB2312" w:cs="仿宋_GB2312"/>
          <w:color w:val="000000"/>
          <w:kern w:val="0"/>
          <w:sz w:val="32"/>
          <w:szCs w:val="32"/>
        </w:rPr>
        <w:t>，邮编：362400，电话：0595-2</w:t>
      </w:r>
      <w:r>
        <w:rPr>
          <w:rFonts w:hint="eastAsia" w:ascii="仿宋_GB2312" w:hAnsi="仿宋_GB2312" w:eastAsia="仿宋_GB2312" w:cs="仿宋_GB2312"/>
          <w:color w:val="000000"/>
          <w:kern w:val="0"/>
          <w:sz w:val="32"/>
          <w:szCs w:val="32"/>
          <w:lang w:val="en-US" w:eastAsia="zh-CN"/>
        </w:rPr>
        <w:t>3232403</w:t>
      </w:r>
      <w:r>
        <w:rPr>
          <w:rFonts w:hint="eastAsia" w:ascii="仿宋_GB2312" w:hAnsi="仿宋_GB2312" w:eastAsia="仿宋_GB2312" w:cs="仿宋_GB2312"/>
          <w:color w:val="000000"/>
          <w:kern w:val="0"/>
          <w:sz w:val="32"/>
          <w:szCs w:val="32"/>
        </w:rPr>
        <w:t>，传真：0595-</w:t>
      </w:r>
      <w:r>
        <w:rPr>
          <w:rFonts w:hint="eastAsia" w:ascii="仿宋_GB2312" w:hAnsi="仿宋_GB2312" w:eastAsia="仿宋_GB2312" w:cs="仿宋_GB2312"/>
          <w:color w:val="000000"/>
          <w:kern w:val="0"/>
          <w:sz w:val="32"/>
          <w:szCs w:val="32"/>
          <w:lang w:val="en-US" w:eastAsia="zh-CN"/>
        </w:rPr>
        <w:t>23266081</w:t>
      </w:r>
      <w:r>
        <w:rPr>
          <w:rFonts w:hint="eastAsia" w:ascii="仿宋_GB2312" w:hAnsi="仿宋_GB2312" w:eastAsia="仿宋_GB2312" w:cs="仿宋_GB2312"/>
          <w:color w:val="000000"/>
          <w:kern w:val="0"/>
          <w:sz w:val="32"/>
          <w:szCs w:val="32"/>
        </w:rPr>
        <w:t>，电子邮箱：</w:t>
      </w:r>
      <w:r>
        <w:rPr>
          <w:rFonts w:hint="eastAsia" w:ascii="仿宋_GB2312" w:hAnsi="仿宋_GB2312" w:eastAsia="仿宋_GB2312" w:cs="仿宋_GB2312"/>
          <w:color w:val="000000"/>
          <w:kern w:val="0"/>
          <w:sz w:val="32"/>
          <w:szCs w:val="32"/>
          <w:lang w:val="en-US"/>
        </w:rPr>
        <w:t>ax3232403</w:t>
      </w:r>
      <w:r>
        <w:rPr>
          <w:rFonts w:hint="eastAsia" w:ascii="仿宋_GB2312" w:hAnsi="仿宋_GB2312" w:eastAsia="仿宋_GB2312" w:cs="仿宋_GB2312"/>
          <w:color w:val="000000"/>
          <w:kern w:val="0"/>
          <w:sz w:val="32"/>
          <w:szCs w:val="32"/>
        </w:rPr>
        <w:t>@16</w:t>
      </w:r>
      <w:r>
        <w:rPr>
          <w:rFonts w:hint="eastAsia" w:ascii="仿宋_GB2312" w:hAnsi="仿宋_GB2312" w:eastAsia="仿宋_GB2312" w:cs="仿宋_GB2312"/>
          <w:color w:val="000000"/>
          <w:kern w:val="0"/>
          <w:sz w:val="32"/>
          <w:szCs w:val="32"/>
          <w:lang w:val="en-US"/>
        </w:rPr>
        <w:t>3</w:t>
      </w:r>
      <w:r>
        <w:rPr>
          <w:rFonts w:hint="eastAsia" w:ascii="仿宋_GB2312" w:hAnsi="仿宋_GB2312" w:eastAsia="仿宋_GB2312" w:cs="仿宋_GB2312"/>
          <w:color w:val="000000"/>
          <w:kern w:val="0"/>
          <w:sz w:val="32"/>
          <w:szCs w:val="32"/>
        </w:rPr>
        <w:t>.com）。</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一、总体情况</w:t>
      </w:r>
    </w:p>
    <w:p>
      <w:pPr>
        <w:pStyle w:val="5"/>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年，县科学技术局</w:t>
      </w:r>
      <w:r>
        <w:rPr>
          <w:rFonts w:hint="eastAsia" w:ascii="仿宋_GB2312" w:hAnsi="仿宋_GB2312" w:eastAsia="仿宋_GB2312" w:cs="仿宋_GB2312"/>
          <w:sz w:val="32"/>
          <w:szCs w:val="32"/>
          <w:lang w:eastAsia="zh-CN"/>
        </w:rPr>
        <w:t>认真贯彻落实《中华人民共和国政府信息公开条例》</w:t>
      </w:r>
      <w:r>
        <w:rPr>
          <w:rFonts w:hint="eastAsia" w:ascii="仿宋_GB2312" w:hAnsi="仿宋_GB2312" w:eastAsia="仿宋_GB2312" w:cs="仿宋_GB2312"/>
          <w:color w:val="000000"/>
          <w:sz w:val="32"/>
          <w:szCs w:val="32"/>
          <w:shd w:val="clear" w:color="auto" w:fill="FFFFFF"/>
          <w:lang w:eastAsia="zh-CN"/>
        </w:rPr>
        <w:t>，聚焦科技创新发展工作</w:t>
      </w:r>
      <w:r>
        <w:rPr>
          <w:rFonts w:hint="eastAsia" w:ascii="仿宋_GB2312" w:hAnsi="仿宋_GB2312" w:eastAsia="仿宋_GB2312" w:cs="仿宋_GB2312"/>
          <w:sz w:val="32"/>
          <w:szCs w:val="32"/>
        </w:rPr>
        <w:t>，立足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工作职能职责，</w:t>
      </w:r>
      <w:r>
        <w:rPr>
          <w:rFonts w:hint="eastAsia" w:ascii="仿宋_GB2312" w:hAnsi="仿宋_GB2312" w:eastAsia="仿宋_GB2312" w:cs="仿宋_GB2312"/>
          <w:sz w:val="32"/>
          <w:szCs w:val="32"/>
          <w:lang w:eastAsia="zh-CN"/>
        </w:rPr>
        <w:t>准确、规范发布各类信息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政府信息公开</w:t>
      </w:r>
      <w:r>
        <w:rPr>
          <w:rFonts w:hint="eastAsia" w:ascii="仿宋_GB2312" w:hAnsi="仿宋_GB2312" w:eastAsia="仿宋_GB2312" w:cs="仿宋_GB2312"/>
          <w:sz w:val="32"/>
          <w:szCs w:val="32"/>
        </w:rPr>
        <w:t>质量和水平不断提升。</w:t>
      </w:r>
    </w:p>
    <w:p>
      <w:pPr>
        <w:pStyle w:val="5"/>
        <w:keepNext w:val="0"/>
        <w:keepLines w:val="0"/>
        <w:pageBreakBefore w:val="0"/>
        <w:kinsoku/>
        <w:wordWrap/>
        <w:overflowPunct/>
        <w:topLinePunct w:val="0"/>
        <w:autoSpaceDE/>
        <w:autoSpaceDN/>
        <w:bidi w:val="0"/>
        <w:adjustRightInd/>
        <w:snapToGrid/>
        <w:spacing w:after="0" w:afterLines="0" w:line="560" w:lineRule="exact"/>
        <w:ind w:left="0" w:leftChars="0" w:firstLine="642" w:firstLineChars="200"/>
        <w:jc w:val="both"/>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b/>
          <w:bCs/>
          <w:sz w:val="32"/>
          <w:szCs w:val="32"/>
        </w:rPr>
        <w:t>1.主动公开。</w:t>
      </w:r>
      <w:r>
        <w:rPr>
          <w:rFonts w:hint="eastAsia" w:ascii="仿宋_GB2312" w:hAnsi="仿宋_GB2312" w:eastAsia="仿宋_GB2312" w:cs="仿宋_GB2312"/>
          <w:sz w:val="32"/>
          <w:szCs w:val="32"/>
        </w:rPr>
        <w:t>围绕科技重点工作，及时主动公开科技</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项目、科技特派员管理、“双随机、一公开”抽查情况等政务信息。202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年，主动公开政府信息</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w:t>
      </w:r>
    </w:p>
    <w:p>
      <w:pPr>
        <w:pStyle w:val="5"/>
        <w:keepNext w:val="0"/>
        <w:keepLines w:val="0"/>
        <w:pageBreakBefore w:val="0"/>
        <w:kinsoku/>
        <w:wordWrap/>
        <w:overflowPunct/>
        <w:topLinePunct w:val="0"/>
        <w:autoSpaceDE/>
        <w:autoSpaceDN/>
        <w:bidi w:val="0"/>
        <w:adjustRightInd/>
        <w:snapToGrid/>
        <w:spacing w:after="0" w:afterLines="0"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2.依申请公开。</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年受理依申请公开0件。未发生政府信息公开行政复议和行</w:t>
      </w:r>
      <w:r>
        <w:rPr>
          <w:rFonts w:hint="eastAsia" w:ascii="仿宋_GB2312" w:hAnsi="仿宋_GB2312" w:eastAsia="仿宋_GB2312" w:cs="仿宋_GB2312"/>
          <w:sz w:val="32"/>
          <w:szCs w:val="32"/>
        </w:rPr>
        <w:t>政诉讼案件，未对依申请公开政府信息收取任何费用。</w:t>
      </w:r>
    </w:p>
    <w:p>
      <w:pPr>
        <w:pStyle w:val="5"/>
        <w:keepNext w:val="0"/>
        <w:keepLines w:val="0"/>
        <w:pageBreakBefore w:val="0"/>
        <w:kinsoku/>
        <w:wordWrap/>
        <w:overflowPunct/>
        <w:topLinePunct w:val="0"/>
        <w:autoSpaceDE/>
        <w:autoSpaceDN/>
        <w:bidi w:val="0"/>
        <w:adjustRightInd/>
        <w:snapToGrid/>
        <w:spacing w:after="0" w:afterLines="0"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3.政府信息管理。</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发布信息</w:t>
      </w:r>
      <w:r>
        <w:rPr>
          <w:rFonts w:hint="eastAsia" w:ascii="仿宋_GB2312" w:hAnsi="仿宋_GB2312" w:eastAsia="仿宋_GB2312" w:cs="仿宋_GB2312"/>
          <w:sz w:val="32"/>
          <w:szCs w:val="32"/>
        </w:rPr>
        <w:t>内容审核，</w:t>
      </w:r>
      <w:r>
        <w:rPr>
          <w:rFonts w:hint="eastAsia" w:ascii="仿宋_GB2312" w:hAnsi="仿宋_GB2312" w:eastAsia="仿宋_GB2312" w:cs="仿宋_GB2312"/>
          <w:sz w:val="32"/>
          <w:szCs w:val="32"/>
          <w:lang w:eastAsia="zh-CN"/>
        </w:rPr>
        <w:t>严格执行信息发布“三审三校”制度，</w:t>
      </w:r>
      <w:r>
        <w:rPr>
          <w:rFonts w:hint="eastAsia" w:ascii="仿宋_GB2312" w:hAnsi="仿宋_GB2312" w:eastAsia="仿宋_GB2312" w:cs="仿宋_GB2312"/>
          <w:sz w:val="32"/>
          <w:szCs w:val="32"/>
        </w:rPr>
        <w:t>确保规范发布内容，自觉接受各界监督、咨询、互动，回应社会关切。</w:t>
      </w:r>
    </w:p>
    <w:p>
      <w:pPr>
        <w:pStyle w:val="5"/>
        <w:keepNext w:val="0"/>
        <w:keepLines w:val="0"/>
        <w:pageBreakBefore w:val="0"/>
        <w:kinsoku/>
        <w:wordWrap/>
        <w:overflowPunct/>
        <w:topLinePunct w:val="0"/>
        <w:autoSpaceDE/>
        <w:autoSpaceDN/>
        <w:bidi w:val="0"/>
        <w:adjustRightInd/>
        <w:snapToGrid/>
        <w:spacing w:after="0" w:afterLines="0"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caps w:val="0"/>
          <w:color w:val="000000"/>
          <w:spacing w:val="0"/>
          <w:kern w:val="0"/>
          <w:sz w:val="32"/>
          <w:szCs w:val="32"/>
          <w:lang w:val="en-US" w:eastAsia="zh-CN" w:bidi="ar"/>
        </w:rPr>
        <w:t>4.政府信息公开平台建设。</w:t>
      </w:r>
      <w:r>
        <w:rPr>
          <w:rFonts w:hint="eastAsia" w:ascii="仿宋_GB2312" w:hAnsi="仿宋_GB2312" w:eastAsia="仿宋_GB2312" w:cs="仿宋_GB2312"/>
          <w:sz w:val="32"/>
          <w:szCs w:val="32"/>
          <w:lang w:val="en-US" w:eastAsia="zh-CN"/>
        </w:rPr>
        <w:t>加强对安溪县政府门户网站日常管理和维护，同时，积极拓展公开渠道，通过“安溪县科学技术局”微信公众号等平台持续发布政策解读、工作动态及科技前沿咨询，进一步提升信息传播效果。</w:t>
      </w:r>
    </w:p>
    <w:p>
      <w:pPr>
        <w:pStyle w:val="5"/>
        <w:keepNext w:val="0"/>
        <w:keepLines w:val="0"/>
        <w:pageBreakBefore w:val="0"/>
        <w:kinsoku/>
        <w:wordWrap/>
        <w:overflowPunct/>
        <w:topLinePunct w:val="0"/>
        <w:autoSpaceDE/>
        <w:autoSpaceDN/>
        <w:bidi w:val="0"/>
        <w:adjustRightInd/>
        <w:snapToGrid/>
        <w:spacing w:after="0" w:afterLines="0" w:line="560"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.监督保障。</w:t>
      </w:r>
      <w:r>
        <w:rPr>
          <w:rFonts w:hint="eastAsia" w:ascii="仿宋_GB2312" w:hAnsi="仿宋_GB2312" w:eastAsia="仿宋_GB2312" w:cs="仿宋_GB2312"/>
          <w:sz w:val="32"/>
          <w:szCs w:val="32"/>
          <w:lang w:val="en-US" w:eastAsia="zh-CN"/>
        </w:rPr>
        <w:t>积极主动接受社会评议，</w:t>
      </w:r>
      <w:r>
        <w:rPr>
          <w:rFonts w:hint="eastAsia" w:ascii="仿宋_GB2312" w:hAnsi="仿宋_GB2312" w:eastAsia="仿宋_GB2312" w:cs="仿宋_GB2312"/>
          <w:sz w:val="32"/>
          <w:szCs w:val="32"/>
          <w:lang w:eastAsia="zh-CN"/>
        </w:rPr>
        <w:t>完</w:t>
      </w:r>
      <w:r>
        <w:rPr>
          <w:rFonts w:hint="eastAsia" w:ascii="仿宋_GB2312" w:hAnsi="仿宋_GB2312" w:eastAsia="仿宋_GB2312" w:cs="仿宋_GB2312"/>
          <w:sz w:val="32"/>
          <w:szCs w:val="32"/>
          <w:lang w:val="en-US" w:eastAsia="zh-CN"/>
        </w:rPr>
        <w:t>善监督保障机制。加强内部监督，定期对信息公开情况进行“回头看”检查；积极接受外部监督，设立公开</w:t>
      </w:r>
      <w:bookmarkStart w:id="0" w:name="_GoBack"/>
      <w:bookmarkEnd w:id="0"/>
      <w:r>
        <w:rPr>
          <w:rFonts w:hint="eastAsia" w:ascii="仿宋_GB2312" w:hAnsi="仿宋_GB2312" w:eastAsia="仿宋_GB2312" w:cs="仿宋_GB2312"/>
          <w:sz w:val="32"/>
          <w:szCs w:val="32"/>
          <w:lang w:val="en-US" w:eastAsia="zh-CN"/>
        </w:rPr>
        <w:t>联系电话和邮箱，及时受理和处理群众的意见和建议。2025年，</w:t>
      </w:r>
      <w:r>
        <w:rPr>
          <w:rFonts w:hint="eastAsia" w:ascii="仿宋_GB2312" w:hAnsi="仿宋_GB2312" w:eastAsia="仿宋_GB2312" w:cs="仿宋_GB2312"/>
          <w:sz w:val="32"/>
          <w:szCs w:val="32"/>
        </w:rPr>
        <w:t>未发生相关责任人责任追究问题情况，未出现违反有关法律规定、用词错误、造成不良影响或者严重后果的情况。</w:t>
      </w:r>
    </w:p>
    <w:p>
      <w:pPr>
        <w:pStyle w:val="4"/>
        <w:shd w:val="clear" w:color="auto" w:fill="FFFFFF"/>
        <w:spacing w:before="0" w:beforeAutospacing="0" w:after="0" w:afterAutospacing="0" w:line="500" w:lineRule="exact"/>
        <w:ind w:firstLine="420"/>
        <w:jc w:val="both"/>
        <w:textAlignment w:val="top"/>
        <w:rPr>
          <w:rFonts w:hint="eastAsia" w:ascii="黑体" w:hAnsi="黑体" w:eastAsia="黑体"/>
          <w:color w:val="000000"/>
          <w:sz w:val="32"/>
          <w:szCs w:val="32"/>
        </w:rPr>
      </w:pPr>
      <w:r>
        <w:rPr>
          <w:rFonts w:hint="eastAsia" w:ascii="黑体" w:hAnsi="黑体" w:eastAsia="黑体"/>
          <w:color w:val="000000"/>
          <w:sz w:val="32"/>
          <w:szCs w:val="32"/>
        </w:rPr>
        <w:t>二、主动公开政府信息情况</w:t>
      </w:r>
    </w:p>
    <w:tbl>
      <w:tblPr>
        <w:tblStyle w:val="6"/>
        <w:tblpPr w:leftFromText="180" w:rightFromText="180" w:vertAnchor="text" w:horzAnchor="page" w:tblpX="1924" w:tblpY="169"/>
        <w:tblOverlap w:val="never"/>
        <w:tblW w:w="842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03"/>
        <w:gridCol w:w="2103"/>
        <w:gridCol w:w="2103"/>
        <w:gridCol w:w="211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第二十条第（一）项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信息内容</w:t>
            </w:r>
          </w:p>
        </w:tc>
        <w:tc>
          <w:tcPr>
            <w:tcW w:w="2103"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w:t>
            </w:r>
            <w:r>
              <w:rPr>
                <w:rFonts w:hint="eastAsia"/>
              </w:rPr>
              <w:t>制发件数</w:t>
            </w:r>
          </w:p>
        </w:tc>
        <w:tc>
          <w:tcPr>
            <w:tcW w:w="2103"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本年废止件数</w:t>
            </w:r>
          </w:p>
        </w:tc>
        <w:tc>
          <w:tcPr>
            <w:tcW w:w="2117"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现行有效件</w:t>
            </w:r>
            <w:r>
              <w:rPr>
                <w:rFonts w:hint="eastAsia"/>
              </w:rPr>
              <w:t>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规章</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1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行政规范性文件</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1</w:t>
            </w:r>
          </w:p>
        </w:tc>
        <w:tc>
          <w:tcPr>
            <w:tcW w:w="211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第二十条第（五）项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本年处理决定数量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行政许可</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4" w:space="0"/>
              <w:right w:val="single" w:color="auto" w:sz="6" w:space="0"/>
            </w:tcBorders>
            <w:shd w:val="clear" w:color="auto" w:fill="C6D9F1"/>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第二十条第（六）项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single" w:color="auto" w:sz="4" w:space="0"/>
              <w:left w:val="single" w:color="auto" w:sz="4" w:space="0"/>
              <w:bottom w:val="single" w:color="auto" w:sz="4"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single" w:color="auto" w:sz="4" w:space="0"/>
              <w:left w:val="nil"/>
              <w:bottom w:val="single" w:color="auto" w:sz="4" w:space="0"/>
              <w:right w:val="single" w:color="auto" w:sz="4"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本年处理决定数量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single" w:color="auto" w:sz="4" w:space="0"/>
              <w:left w:val="single" w:color="auto" w:sz="4" w:space="0"/>
              <w:bottom w:val="single" w:color="auto" w:sz="4"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行政处罚</w:t>
            </w:r>
          </w:p>
        </w:tc>
        <w:tc>
          <w:tcPr>
            <w:tcW w:w="6323" w:type="dxa"/>
            <w:gridSpan w:val="3"/>
            <w:tcBorders>
              <w:top w:val="single" w:color="auto" w:sz="4" w:space="0"/>
              <w:left w:val="nil"/>
              <w:bottom w:val="single" w:color="auto" w:sz="4" w:space="0"/>
              <w:right w:val="single" w:color="auto" w:sz="4"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single" w:color="auto" w:sz="4" w:space="0"/>
              <w:left w:val="single" w:color="auto" w:sz="4"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行政强制</w:t>
            </w:r>
          </w:p>
        </w:tc>
        <w:tc>
          <w:tcPr>
            <w:tcW w:w="6323" w:type="dxa"/>
            <w:gridSpan w:val="3"/>
            <w:tcBorders>
              <w:top w:val="single" w:color="auto" w:sz="4" w:space="0"/>
              <w:left w:val="nil"/>
              <w:bottom w:val="single" w:color="auto" w:sz="6" w:space="0"/>
              <w:right w:val="single" w:color="auto" w:sz="4"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4" w:space="0"/>
              <w:bottom w:val="single" w:color="auto" w:sz="6" w:space="0"/>
              <w:right w:val="single" w:color="auto" w:sz="4" w:space="0"/>
            </w:tcBorders>
            <w:shd w:val="clear" w:color="auto" w:fill="C6D9F1"/>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第二十条第（八）项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4"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nil"/>
              <w:left w:val="nil"/>
              <w:bottom w:val="single" w:color="auto" w:sz="6" w:space="0"/>
              <w:right w:val="single" w:color="auto" w:sz="4"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本年收费金额（单位：万元）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4" w:space="0"/>
              <w:bottom w:val="single" w:color="auto" w:sz="4"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行政事业性收费</w:t>
            </w:r>
          </w:p>
        </w:tc>
        <w:tc>
          <w:tcPr>
            <w:tcW w:w="6323" w:type="dxa"/>
            <w:gridSpan w:val="3"/>
            <w:tcBorders>
              <w:top w:val="nil"/>
              <w:left w:val="nil"/>
              <w:bottom w:val="single" w:color="auto" w:sz="4" w:space="0"/>
              <w:right w:val="single" w:color="auto" w:sz="4"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500" w:lineRule="exact"/>
        <w:jc w:val="both"/>
        <w:textAlignment w:val="top"/>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rPr>
        <w:t>三、收到和处理政府信息公开申请情况</w:t>
      </w:r>
    </w:p>
    <w:tbl>
      <w:tblPr>
        <w:tblStyle w:val="6"/>
        <w:tblW w:w="856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00"/>
        <w:gridCol w:w="919"/>
        <w:gridCol w:w="2452"/>
        <w:gridCol w:w="597"/>
        <w:gridCol w:w="597"/>
        <w:gridCol w:w="597"/>
        <w:gridCol w:w="597"/>
        <w:gridCol w:w="598"/>
        <w:gridCol w:w="599"/>
        <w:gridCol w:w="100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vMerge w:val="restart"/>
            <w:tcBorders>
              <w:top w:val="single" w:color="auto" w:sz="6" w:space="0"/>
              <w:left w:val="single" w:color="auto" w:sz="6" w:space="0"/>
              <w:bottom w:val="outset"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textAlignment w:val="top"/>
              <w:rPr>
                <w:rFonts w:hint="eastAsia"/>
              </w:rPr>
            </w:pPr>
            <w:r>
              <w:rPr>
                <w:rFonts w:hint="eastAsia"/>
              </w:rPr>
              <w:t>（本列数据的勾稽关系为：第一项加第二项之和，等于第三项加第四项之和）</w:t>
            </w:r>
          </w:p>
        </w:tc>
        <w:tc>
          <w:tcPr>
            <w:tcW w:w="4592" w:type="dxa"/>
            <w:gridSpan w:val="7"/>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申请人情况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vMerge w:val="continue"/>
            <w:tcBorders>
              <w:top w:val="single" w:color="auto" w:sz="6" w:space="0"/>
              <w:left w:val="single" w:color="auto" w:sz="6" w:space="0"/>
              <w:bottom w:val="outset" w:color="auto" w:sz="6" w:space="0"/>
              <w:right w:val="single" w:color="auto" w:sz="6" w:space="0"/>
            </w:tcBorders>
            <w:noWrap w:val="0"/>
            <w:vAlign w:val="top"/>
          </w:tcPr>
          <w:p>
            <w:pPr>
              <w:spacing w:line="500" w:lineRule="exact"/>
              <w:rPr>
                <w:rFonts w:hint="eastAsia" w:ascii="宋体" w:hAnsi="宋体" w:cs="宋体"/>
                <w:sz w:val="24"/>
              </w:rPr>
            </w:pPr>
          </w:p>
        </w:tc>
        <w:tc>
          <w:tcPr>
            <w:tcW w:w="597" w:type="dxa"/>
            <w:vMerge w:val="restart"/>
            <w:tcBorders>
              <w:top w:val="single" w:color="auto" w:sz="0" w:space="0"/>
              <w:left w:val="single" w:color="auto" w:sz="0" w:space="0"/>
              <w:bottom w:val="single" w:color="auto" w:sz="6" w:space="0"/>
              <w:right w:val="single" w:color="auto" w:sz="6" w:space="0"/>
            </w:tcBorders>
            <w:noWrap w:val="0"/>
            <w:vAlign w:val="top"/>
          </w:tcPr>
          <w:p>
            <w:pPr>
              <w:pStyle w:val="4"/>
              <w:spacing w:before="0" w:beforeAutospacing="0" w:after="0" w:afterAutospacing="0" w:line="500" w:lineRule="exact"/>
              <w:jc w:val="center"/>
              <w:textAlignment w:val="top"/>
              <w:rPr>
                <w:rFonts w:hint="eastAsia"/>
              </w:rPr>
            </w:pPr>
            <w:r>
              <w:rPr>
                <w:rFonts w:hint="eastAsia"/>
              </w:rPr>
              <w:t>自然人</w:t>
            </w:r>
          </w:p>
        </w:tc>
        <w:tc>
          <w:tcPr>
            <w:tcW w:w="2988" w:type="dxa"/>
            <w:gridSpan w:val="5"/>
            <w:tcBorders>
              <w:top w:val="single" w:color="auto" w:sz="6" w:space="0"/>
              <w:left w:val="single" w:color="auto" w:sz="0"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法人或其他组织</w:t>
            </w:r>
          </w:p>
        </w:tc>
        <w:tc>
          <w:tcPr>
            <w:tcW w:w="1007" w:type="dxa"/>
            <w:vMerge w:val="restart"/>
            <w:tcBorders>
              <w:top w:val="single"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总计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vMerge w:val="continue"/>
            <w:tcBorders>
              <w:top w:val="single" w:color="auto" w:sz="6" w:space="0"/>
              <w:left w:val="single" w:color="auto" w:sz="6" w:space="0"/>
              <w:bottom w:val="outset" w:color="auto" w:sz="6" w:space="0"/>
              <w:right w:val="single" w:color="auto" w:sz="6" w:space="0"/>
            </w:tcBorders>
            <w:noWrap w:val="0"/>
            <w:vAlign w:val="top"/>
          </w:tcPr>
          <w:p>
            <w:pPr>
              <w:spacing w:line="500" w:lineRule="exact"/>
              <w:rPr>
                <w:rFonts w:hint="eastAsia" w:ascii="宋体" w:hAnsi="宋体" w:cs="宋体"/>
                <w:sz w:val="24"/>
              </w:rPr>
            </w:pPr>
          </w:p>
        </w:tc>
        <w:tc>
          <w:tcPr>
            <w:tcW w:w="597" w:type="dxa"/>
            <w:vMerge w:val="continue"/>
            <w:tcBorders>
              <w:top w:val="single" w:color="auto" w:sz="0" w:space="0"/>
              <w:left w:val="single" w:color="auto" w:sz="0" w:space="0"/>
              <w:bottom w:val="single" w:color="auto" w:sz="6" w:space="0"/>
              <w:right w:val="single" w:color="auto" w:sz="6" w:space="0"/>
            </w:tcBorders>
            <w:noWrap w:val="0"/>
            <w:vAlign w:val="top"/>
          </w:tcPr>
          <w:p>
            <w:pPr>
              <w:spacing w:line="500" w:lineRule="exact"/>
              <w:rPr>
                <w:rFonts w:hint="eastAsia" w:ascii="宋体" w:hAnsi="宋体" w:cs="宋体"/>
                <w:sz w:val="24"/>
              </w:rPr>
            </w:pPr>
          </w:p>
        </w:tc>
        <w:tc>
          <w:tcPr>
            <w:tcW w:w="597" w:type="dxa"/>
            <w:tcBorders>
              <w:top w:val="single" w:color="auto" w:sz="0" w:space="0"/>
              <w:left w:val="single" w:color="auto" w:sz="0"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商业</w:t>
            </w:r>
          </w:p>
          <w:p>
            <w:pPr>
              <w:pStyle w:val="4"/>
              <w:spacing w:before="0" w:beforeAutospacing="0" w:after="0" w:afterAutospacing="0" w:line="500" w:lineRule="exact"/>
              <w:jc w:val="center"/>
              <w:textAlignment w:val="top"/>
              <w:rPr>
                <w:rFonts w:hint="eastAsia"/>
              </w:rPr>
            </w:pPr>
            <w:r>
              <w:rPr>
                <w:rFonts w:hint="eastAsia"/>
              </w:rPr>
              <w:t>企业</w:t>
            </w:r>
          </w:p>
        </w:tc>
        <w:tc>
          <w:tcPr>
            <w:tcW w:w="597"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科研</w:t>
            </w:r>
          </w:p>
          <w:p>
            <w:pPr>
              <w:pStyle w:val="4"/>
              <w:spacing w:before="0" w:beforeAutospacing="0" w:after="0" w:afterAutospacing="0" w:line="500" w:lineRule="exact"/>
              <w:jc w:val="center"/>
              <w:textAlignment w:val="top"/>
              <w:rPr>
                <w:rFonts w:hint="eastAsia"/>
              </w:rPr>
            </w:pPr>
            <w:r>
              <w:rPr>
                <w:rFonts w:hint="eastAsia"/>
              </w:rPr>
              <w:t>机构</w:t>
            </w:r>
          </w:p>
        </w:tc>
        <w:tc>
          <w:tcPr>
            <w:tcW w:w="597"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社会公益组织</w:t>
            </w:r>
          </w:p>
        </w:tc>
        <w:tc>
          <w:tcPr>
            <w:tcW w:w="598"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法律服务机构</w:t>
            </w:r>
          </w:p>
        </w:tc>
        <w:tc>
          <w:tcPr>
            <w:tcW w:w="599"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其他</w:t>
            </w:r>
          </w:p>
        </w:tc>
        <w:tc>
          <w:tcPr>
            <w:tcW w:w="1007" w:type="dxa"/>
            <w:vMerge w:val="continue"/>
            <w:tcBorders>
              <w:top w:val="single"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一、本年新收政府信息公开申请数量</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二、上年结转政府信息公开申请数量</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restart"/>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三、本年度办理结果</w:t>
            </w:r>
          </w:p>
        </w:tc>
        <w:tc>
          <w:tcPr>
            <w:tcW w:w="3371" w:type="dxa"/>
            <w:gridSpan w:val="2"/>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（一）予以公开</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3371" w:type="dxa"/>
            <w:gridSpan w:val="2"/>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（二）部分公开（区分处理的，只计这一情形，不计其他情形）</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（三）不予公开</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1.属于国家秘密</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2.其他法律行政法规禁止公开</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3.危及“三安全一稳定”</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4"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4.保护第三方合法权益</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4"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4" w:space="0"/>
              <w:left w:val="single" w:color="auto" w:sz="4" w:space="0"/>
              <w:bottom w:val="single" w:color="auto" w:sz="4"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5.属于三类内部事务信息</w:t>
            </w:r>
          </w:p>
        </w:tc>
        <w:tc>
          <w:tcPr>
            <w:tcW w:w="597"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single" w:color="auto" w:sz="4" w:space="0"/>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single" w:color="auto" w:sz="4" w:space="0"/>
              <w:left w:val="nil"/>
              <w:bottom w:val="single" w:color="auto" w:sz="4" w:space="0"/>
              <w:right w:val="single" w:color="auto" w:sz="4"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4"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6.属于四类过程性信息</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7.属于行政执法案卷</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8.属于行政查询事项</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（四）无法提供</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1.本机关不掌握相关政府信息</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2.没有现成信息需要另行制作</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3.补正后申请内容仍不明确</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（五）不予处理</w:t>
            </w: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1.信访举报投诉类申请</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2.重复申请</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3.要求提供公开出版物</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4.无正当理由大量反复申请</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both"/>
              <w:textAlignment w:val="top"/>
              <w:rPr>
                <w:rFonts w:hint="eastAsia"/>
              </w:rPr>
            </w:pPr>
            <w:r>
              <w:rPr>
                <w:rFonts w:hint="eastAsia"/>
              </w:rPr>
              <w:t>5.要求行政机关确认或重新出具已获取信息</w:t>
            </w:r>
          </w:p>
        </w:tc>
        <w:tc>
          <w:tcPr>
            <w:tcW w:w="59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restart"/>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（六）其他处理</w:t>
            </w:r>
          </w:p>
        </w:tc>
        <w:tc>
          <w:tcPr>
            <w:tcW w:w="2452" w:type="dxa"/>
            <w:tcBorders>
              <w:top w:val="single" w:color="auto" w:sz="0" w:space="0"/>
              <w:left w:val="single" w:color="auto" w:sz="0" w:space="0"/>
              <w:bottom w:val="single" w:color="auto" w:sz="4"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both"/>
              <w:textAlignment w:val="top"/>
              <w:rPr>
                <w:rFonts w:hint="eastAsia"/>
              </w:rPr>
            </w:pPr>
            <w:r>
              <w:rPr>
                <w:rFonts w:hint="eastAsia"/>
              </w:rPr>
              <w:t>1.申请人无正当理由逾期不补正、行政机关不再处理其政府信息公开申请</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outset" w:color="auto" w:sz="6" w:space="0"/>
              <w:left w:val="single" w:color="auto" w:sz="0" w:space="0"/>
              <w:bottom w:val="outset" w:color="auto" w:sz="6" w:space="0"/>
              <w:right w:val="single" w:color="auto" w:sz="4"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4" w:space="0"/>
              <w:left w:val="single" w:color="auto" w:sz="4"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both"/>
              <w:textAlignment w:val="top"/>
              <w:rPr>
                <w:rFonts w:hint="eastAsia"/>
              </w:rPr>
            </w:pPr>
            <w:r>
              <w:rPr>
                <w:rFonts w:hint="eastAsia"/>
              </w:rPr>
              <w:t>2.申请人逾期未按收费通知要求缴纳费用、行政机关不再处理其政府信息公开申请</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single" w:color="auto" w:sz="4" w:space="0"/>
              <w:left w:val="nil"/>
              <w:bottom w:val="single" w:color="auto" w:sz="6" w:space="0"/>
              <w:right w:val="single" w:color="auto" w:sz="4"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outset" w:color="auto" w:sz="6" w:space="0"/>
              <w:left w:val="single" w:color="auto" w:sz="0" w:space="0"/>
              <w:bottom w:val="outset" w:color="auto" w:sz="6" w:space="0"/>
              <w:right w:val="single" w:color="auto" w:sz="4"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452" w:type="dxa"/>
            <w:tcBorders>
              <w:top w:val="single" w:color="auto" w:sz="0" w:space="0"/>
              <w:left w:val="single" w:color="auto" w:sz="4"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3.其他</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4"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4"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3371" w:type="dxa"/>
            <w:gridSpan w:val="2"/>
            <w:tcBorders>
              <w:top w:val="single" w:color="auto" w:sz="0" w:space="0"/>
              <w:left w:val="single" w:color="auto" w:sz="4"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（七）总计</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4"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71" w:type="dxa"/>
            <w:gridSpan w:val="3"/>
            <w:tcBorders>
              <w:top w:val="nil"/>
              <w:left w:val="single" w:color="auto" w:sz="4" w:space="0"/>
              <w:bottom w:val="single" w:color="auto" w:sz="4"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四、结转下年度继续办理</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4" w:space="0"/>
              <w:right w:val="single" w:color="auto" w:sz="6"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4" w:space="0"/>
              <w:right w:val="single" w:color="auto" w:sz="4" w:space="0"/>
            </w:tcBorders>
            <w:noWrap w:val="0"/>
            <w:tcMar>
              <w:top w:w="0" w:type="dxa"/>
              <w:left w:w="60" w:type="dxa"/>
              <w:bottom w:w="0" w:type="dxa"/>
              <w:right w:w="60"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500" w:lineRule="exact"/>
        <w:jc w:val="both"/>
        <w:textAlignment w:val="top"/>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rPr>
        <w:t>四、政府信息公开行政复议、行政诉讼情况</w:t>
      </w:r>
    </w:p>
    <w:tbl>
      <w:tblPr>
        <w:tblStyle w:val="6"/>
        <w:tblpPr w:leftFromText="180" w:rightFromText="180" w:vertAnchor="text" w:horzAnchor="page" w:tblpX="1859" w:tblpY="28"/>
        <w:tblOverlap w:val="never"/>
        <w:tblW w:w="851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67"/>
        <w:gridCol w:w="567"/>
        <w:gridCol w:w="567"/>
        <w:gridCol w:w="567"/>
        <w:gridCol w:w="568"/>
        <w:gridCol w:w="568"/>
        <w:gridCol w:w="568"/>
        <w:gridCol w:w="568"/>
        <w:gridCol w:w="568"/>
        <w:gridCol w:w="568"/>
        <w:gridCol w:w="568"/>
        <w:gridCol w:w="568"/>
        <w:gridCol w:w="568"/>
        <w:gridCol w:w="568"/>
        <w:gridCol w:w="56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836"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行政复议</w:t>
            </w:r>
          </w:p>
        </w:tc>
        <w:tc>
          <w:tcPr>
            <w:tcW w:w="5680" w:type="dxa"/>
            <w:gridSpan w:val="10"/>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行政诉讼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7"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结果维持</w:t>
            </w:r>
          </w:p>
        </w:tc>
        <w:tc>
          <w:tcPr>
            <w:tcW w:w="567"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纠正</w:t>
            </w:r>
          </w:p>
        </w:tc>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其他</w:t>
            </w:r>
            <w:r>
              <w:rPr>
                <w:rFonts w:hint="eastAsia"/>
              </w:rPr>
              <w:br w:type="textWrapping"/>
            </w:r>
            <w:r>
              <w:rPr>
                <w:rFonts w:hint="eastAsia"/>
              </w:rPr>
              <w:t>结果</w:t>
            </w:r>
          </w:p>
        </w:tc>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尚未</w:t>
            </w:r>
            <w:r>
              <w:rPr>
                <w:rFonts w:hint="eastAsia"/>
              </w:rPr>
              <w:br w:type="textWrapping"/>
            </w:r>
            <w:r>
              <w:rPr>
                <w:rFonts w:hint="eastAsia"/>
              </w:rPr>
              <w:t>审结</w:t>
            </w:r>
          </w:p>
        </w:tc>
        <w:tc>
          <w:tcPr>
            <w:tcW w:w="568"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总计</w:t>
            </w:r>
          </w:p>
        </w:tc>
        <w:tc>
          <w:tcPr>
            <w:tcW w:w="284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未经复议直接起诉</w:t>
            </w:r>
          </w:p>
        </w:tc>
        <w:tc>
          <w:tcPr>
            <w:tcW w:w="284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复议后起诉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7"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7"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7"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7"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8"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维持</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纠正</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其他</w:t>
            </w:r>
            <w:r>
              <w:rPr>
                <w:rFonts w:hint="eastAsia"/>
              </w:rPr>
              <w:br w:type="textWrapping"/>
            </w:r>
            <w:r>
              <w:rPr>
                <w:rFonts w:hint="eastAsia"/>
              </w:rPr>
              <w:t>结果</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尚未</w:t>
            </w:r>
            <w:r>
              <w:rPr>
                <w:rFonts w:hint="eastAsia"/>
              </w:rPr>
              <w:br w:type="textWrapping"/>
            </w:r>
            <w:r>
              <w:rPr>
                <w:rFonts w:hint="eastAsia"/>
              </w:rPr>
              <w:t>审结</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总计</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维持</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结果</w:t>
            </w:r>
            <w:r>
              <w:rPr>
                <w:rFonts w:hint="eastAsia"/>
              </w:rPr>
              <w:br w:type="textWrapping"/>
            </w:r>
            <w:r>
              <w:rPr>
                <w:rFonts w:hint="eastAsia"/>
              </w:rPr>
              <w:t>纠正</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其他</w:t>
            </w:r>
            <w:r>
              <w:rPr>
                <w:rFonts w:hint="eastAsia"/>
                <w:color w:val="000000"/>
              </w:rPr>
              <w:br w:type="textWrapping"/>
            </w:r>
            <w:r>
              <w:rPr>
                <w:rFonts w:hint="eastAsia"/>
                <w:color w:val="000000"/>
              </w:rPr>
              <w:t>结果</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尚未</w:t>
            </w:r>
            <w:r>
              <w:rPr>
                <w:rFonts w:hint="eastAsia"/>
              </w:rPr>
              <w:br w:type="textWrapping"/>
            </w:r>
            <w:r>
              <w:rPr>
                <w:rFonts w:hint="eastAsia"/>
              </w:rPr>
              <w:t>审结</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总计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left"/>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ind w:firstLine="640" w:firstLineChars="200"/>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五、存在的主要问题及改进</w:t>
      </w:r>
      <w:r>
        <w:rPr>
          <w:rFonts w:hint="eastAsia" w:ascii="黑体" w:hAnsi="黑体" w:eastAsia="黑体" w:cs="黑体"/>
          <w:color w:val="000000"/>
          <w:kern w:val="0"/>
          <w:sz w:val="32"/>
          <w:szCs w:val="32"/>
          <w:lang w:eastAsia="zh-CN"/>
        </w:rPr>
        <w:t>措施</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宋体" w:eastAsia="楷体_GB2312" w:cs="楷体_GB2312"/>
          <w:b/>
          <w:bCs/>
          <w:color w:val="000000"/>
          <w:kern w:val="0"/>
          <w:sz w:val="32"/>
          <w:szCs w:val="32"/>
          <w:lang w:val="en-US" w:eastAsia="zh-CN"/>
        </w:rPr>
      </w:pPr>
      <w:r>
        <w:rPr>
          <w:rFonts w:hint="eastAsia" w:ascii="楷体_GB2312" w:hAnsi="宋体" w:eastAsia="楷体_GB2312" w:cs="楷体_GB2312"/>
          <w:b/>
          <w:bCs/>
          <w:color w:val="000000"/>
          <w:kern w:val="0"/>
          <w:sz w:val="32"/>
          <w:szCs w:val="32"/>
          <w:lang w:val="en-US" w:eastAsia="zh-CN"/>
        </w:rPr>
        <w:t>（一）主要的存在问题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宋体" w:eastAsia="楷体_GB2312" w:cs="楷体_GB2312"/>
          <w:b/>
          <w:bCs/>
          <w:color w:val="000000"/>
          <w:kern w:val="0"/>
          <w:sz w:val="32"/>
          <w:szCs w:val="32"/>
        </w:rPr>
      </w:pP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2025年，县科学技术局在政府信息公开工作中取得了一定成效，但仍存在一定的不足，主要是信息公开内容不够丰富、个别信息发布还不够及时。</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ascii="宋体" w:cs="Times New Roman"/>
          <w:color w:val="000000"/>
          <w:sz w:val="24"/>
          <w:szCs w:val="24"/>
        </w:rPr>
      </w:pPr>
      <w:r>
        <w:rPr>
          <w:rFonts w:hint="eastAsia" w:ascii="楷体_GB2312" w:hAnsi="宋体" w:eastAsia="楷体_GB2312" w:cs="楷体_GB2312"/>
          <w:b/>
          <w:bCs/>
          <w:color w:val="000000"/>
          <w:kern w:val="0"/>
          <w:sz w:val="32"/>
          <w:szCs w:val="32"/>
        </w:rPr>
        <w:t>（二）改进措施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一是丰富公开内容，增强主动公开意识，运用视频、图表等多种形式开展政策解读，确保公开信息通俗易懂，提高信息传播力与影响力。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eastAsia"/>
        </w:rPr>
      </w:pP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二是组织学习培训，组织本单位学习《中华人民共和国政府信息公开条例》，将政府信息公开与业务工作深度融合发展，进一步压实责任，确保各类信息规范、有效、及时发布。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560" w:lineRule="exact"/>
        <w:jc w:val="left"/>
        <w:textAlignment w:val="auto"/>
        <w:rPr>
          <w:rFonts w:hint="eastAsia"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依据《政府信息公开信息处理费管理办法》（国办函〔2020〕109号）《财政部办公厅关于政府信息公开信息处理费收入收缴管理有关事宜的通知》（财办库〔2020〕254号）和《福建省非税收入管理办法》（省政府令第153号）等文件要求，做好信息处理费收缴管理工作。</w:t>
      </w:r>
      <w:r>
        <w:rPr>
          <w:rFonts w:hint="eastAsia" w:ascii="仿宋_GB2312" w:hAnsi="仿宋_GB2312" w:eastAsia="仿宋_GB2312" w:cs="仿宋_GB2312"/>
          <w:color w:val="000000"/>
          <w:sz w:val="32"/>
          <w:szCs w:val="32"/>
          <w:shd w:val="clear" w:color="auto" w:fill="FFFFFF"/>
          <w:lang w:eastAsia="zh-CN"/>
        </w:rPr>
        <w:t>2025年</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本</w:t>
      </w:r>
      <w:r>
        <w:rPr>
          <w:rFonts w:hint="eastAsia" w:ascii="仿宋_GB2312" w:hAnsi="仿宋_GB2312" w:eastAsia="仿宋_GB2312" w:cs="仿宋_GB2312"/>
          <w:color w:val="000000"/>
          <w:sz w:val="32"/>
          <w:szCs w:val="32"/>
          <w:shd w:val="clear" w:color="auto" w:fill="FFFFFF"/>
        </w:rPr>
        <w:t>单位未收取政府信息处理费。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32"/>
          <w:szCs w:val="32"/>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安溪县</w:t>
      </w:r>
      <w:r>
        <w:rPr>
          <w:rFonts w:hint="eastAsia" w:ascii="仿宋_GB2312" w:hAnsi="仿宋_GB2312" w:eastAsia="仿宋_GB2312" w:cs="仿宋_GB2312"/>
          <w:color w:val="000000"/>
          <w:sz w:val="32"/>
          <w:szCs w:val="32"/>
          <w:shd w:val="clear" w:color="auto" w:fill="FFFFFF"/>
          <w:lang w:eastAsia="zh-CN"/>
        </w:rPr>
        <w:t>科学技术局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年1月</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w:t>
      </w:r>
    </w:p>
    <w:p>
      <w:pPr>
        <w:widowControl/>
        <w:spacing w:line="560" w:lineRule="exact"/>
        <w:jc w:val="left"/>
        <w:rPr>
          <w:rFonts w:hint="eastAsia" w:ascii="仿宋_GB2312" w:hAnsi="宋体" w:eastAsia="仿宋_GB2312" w:cs="仿宋_GB2312"/>
          <w:color w:val="000000"/>
          <w:kern w:val="0"/>
          <w:sz w:val="32"/>
          <w:szCs w:val="32"/>
        </w:rPr>
      </w:pPr>
    </w:p>
    <w:p>
      <w:pPr>
        <w:widowControl/>
        <w:spacing w:line="560" w:lineRule="exact"/>
        <w:jc w:val="left"/>
        <w:rPr>
          <w:rFonts w:ascii="宋体" w:cs="Times New Roman"/>
          <w:color w:val="000000"/>
          <w:sz w:val="24"/>
          <w:szCs w:val="24"/>
        </w:rPr>
      </w:pPr>
      <w:r>
        <w:rPr>
          <w:rFonts w:hint="eastAsia" w:ascii="仿宋_GB2312" w:hAnsi="宋体" w:eastAsia="仿宋_GB2312" w:cs="仿宋_GB2312"/>
          <w:color w:val="000000"/>
          <w:kern w:val="0"/>
          <w:sz w:val="32"/>
          <w:szCs w:val="32"/>
        </w:rPr>
        <w:t>（此件</w:t>
      </w:r>
      <w:r>
        <w:rPr>
          <w:rFonts w:hint="eastAsia" w:ascii="仿宋_GB2312" w:hAnsi="宋体" w:eastAsia="仿宋_GB2312" w:cs="仿宋_GB2312"/>
          <w:color w:val="000000"/>
          <w:kern w:val="0"/>
          <w:sz w:val="32"/>
          <w:szCs w:val="32"/>
          <w:lang w:eastAsia="zh-CN"/>
        </w:rPr>
        <w:t>主动</w:t>
      </w:r>
      <w:r>
        <w:rPr>
          <w:rFonts w:hint="eastAsia" w:ascii="仿宋_GB2312" w:hAnsi="宋体" w:eastAsia="仿宋_GB2312" w:cs="仿宋_GB2312"/>
          <w:color w:val="000000"/>
          <w:kern w:val="0"/>
          <w:sz w:val="32"/>
          <w:szCs w:val="32"/>
        </w:rPr>
        <w:t>公开）</w:t>
      </w:r>
    </w:p>
    <w:p>
      <w:pPr>
        <w:pStyle w:val="5"/>
        <w:rPr>
          <w:rFonts w:hint="eastAsia"/>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78"/>
    <w:rsid w:val="00252D7B"/>
    <w:rsid w:val="002A2C6C"/>
    <w:rsid w:val="004B2FE9"/>
    <w:rsid w:val="0070482A"/>
    <w:rsid w:val="009B3617"/>
    <w:rsid w:val="009E7AAB"/>
    <w:rsid w:val="00A271E1"/>
    <w:rsid w:val="00A54267"/>
    <w:rsid w:val="00B82BBD"/>
    <w:rsid w:val="00C73078"/>
    <w:rsid w:val="00DD3B2B"/>
    <w:rsid w:val="1AEB5F41"/>
    <w:rsid w:val="20453094"/>
    <w:rsid w:val="267D0219"/>
    <w:rsid w:val="35690B66"/>
    <w:rsid w:val="35B34592"/>
    <w:rsid w:val="374C278D"/>
    <w:rsid w:val="37B021F1"/>
    <w:rsid w:val="3B2800DF"/>
    <w:rsid w:val="3BF57EC7"/>
    <w:rsid w:val="41FD7039"/>
    <w:rsid w:val="46537607"/>
    <w:rsid w:val="4A4D5AF6"/>
    <w:rsid w:val="55CF555F"/>
    <w:rsid w:val="5A932270"/>
    <w:rsid w:val="5CB64156"/>
    <w:rsid w:val="653B00A6"/>
    <w:rsid w:val="67B56133"/>
    <w:rsid w:val="694F337D"/>
    <w:rsid w:val="6A7D165F"/>
    <w:rsid w:val="6D6F4A20"/>
    <w:rsid w:val="72EFDC56"/>
    <w:rsid w:val="7A233129"/>
    <w:rsid w:val="B67F9AB5"/>
    <w:rsid w:val="FBFF52B0"/>
    <w:rsid w:val="FF7BA33C"/>
    <w:rsid w:val="FFBBC734"/>
    <w:rsid w:val="FFEE6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w:basedOn w:val="2"/>
    <w:unhideWhenUsed/>
    <w:qFormat/>
    <w:uiPriority w:val="99"/>
    <w:pPr>
      <w:ind w:firstLine="420" w:firstLineChars="100"/>
    </w:p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1</Pages>
  <Words>224</Words>
  <Characters>1283</Characters>
  <Lines>10</Lines>
  <Paragraphs>3</Paragraphs>
  <TotalTime>4</TotalTime>
  <ScaleCrop>false</ScaleCrop>
  <LinksUpToDate>false</LinksUpToDate>
  <CharactersWithSpaces>1504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2023-01-10T19:38:00Z</dcterms:created>
  <dc:creator>LENOVO</dc:creator>
  <cp:lastModifiedBy>虫瞎小</cp:lastModifiedBy>
  <dcterms:modified xsi:type="dcterms:W3CDTF">2026-01-20T15:26:27Z</dcterms:modified>
  <dc:title>政府信息公开工作年度报告格式模板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EE0A5D16EEAA2F4713F86E69DADB9C57</vt:lpwstr>
  </property>
</Properties>
</file>