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  <w:bookmarkStart w:id="0" w:name="_GoBack"/>
      <w:r>
        <w:rPr>
          <w:rFonts w:hint="eastAsia" w:ascii="仿宋_GB2312" w:hAnsi="Times New Roman" w:eastAsia="仿宋_GB2312" w:cs="Times New Roman"/>
          <w:sz w:val="32"/>
          <w:szCs w:val="32"/>
        </w:rPr>
        <w:t>安农财〔</w:t>
      </w:r>
      <w:r>
        <w:rPr>
          <w:rFonts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〕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安溪县农业农村局关于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下达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市级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财政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衔接推进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乡村振兴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补助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资金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Times New Roman" w:eastAsia="方正小标宋简体" w:cs="Times New Roman"/>
          <w:bCs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（整镇推进奖补）的通知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0" w:rightChars="0"/>
        <w:jc w:val="both"/>
        <w:textAlignment w:val="auto"/>
        <w:outlineLvl w:val="9"/>
        <w:rPr>
          <w:rFonts w:ascii="方正小标宋简体" w:hAnsi="Times New Roman" w:eastAsia="方正小标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西坪镇、龙门镇、城厢镇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根据泉财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号文精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神，现下达2026年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市级财政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衔接推进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乡村振兴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资金（整镇推进奖补）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60万元，本项市级资金用于整镇推进项目建设奖补。</w:t>
      </w:r>
      <w:r>
        <w:rPr>
          <w:rFonts w:hint="eastAsia" w:ascii="仿宋_GB2312" w:hAnsi="仿宋_GB2312" w:eastAsia="仿宋_GB2312" w:cs="仿宋_GB2312"/>
          <w:sz w:val="32"/>
          <w:szCs w:val="32"/>
        </w:rPr>
        <w:t>同步下达任务清单和绩效目标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（详见附件1、2）。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请按照《泉州市财政局 泉州市农业农村局关于印发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泉州市市级特色现代农业发展专项资金管理规定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等3个专项资金管理规定的通知》（泉财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《安溪县乡村振兴专项资金使用管理办法》（安财农〔2020〕35号）等要求管理使用本项资金，加强资金监管，按照规定的用途和范围分配使用，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确保专款专用，任何部门和单位不得截留、挤占和挪用，专项资金的支付按照财政国库管理制度有关规定执行，同时做好绩效跟踪和管理，切实提高财政资金使用效益。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949" w:leftChars="304" w:right="0" w:rightChars="0" w:hanging="1280" w:hanging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918" w:leftChars="290" w:right="0" w:rightChars="0" w:hanging="1280" w:hangingChars="400"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ahoma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2026年市级财政衔接推进乡村振兴补助资金（整镇推进奖补）分</w:t>
      </w:r>
      <w:r>
        <w:rPr>
          <w:rFonts w:hint="eastAsia" w:ascii="仿宋_GB2312" w:hAnsi="Times New Roman" w:eastAsia="仿宋_GB2312" w:cs="Times New Roman"/>
          <w:sz w:val="32"/>
          <w:szCs w:val="32"/>
        </w:rPr>
        <w:t>配表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和任务清单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915" w:leftChars="725" w:right="0" w:rightChars="0" w:hanging="320" w:hangingChars="10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2026年市级财政衔接推进乡村振兴补助资金（整镇推进奖补）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绩效目标表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0" w:rightChars="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0" w:rightChars="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0" w:rightChars="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0" w:rightChars="0" w:firstLine="5440" w:firstLineChars="170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安溪县农业农村局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0" w:rightChars="0" w:firstLine="5497" w:firstLineChars="1718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（此件公开发布）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9" w:line="560" w:lineRule="exact"/>
        <w:rPr>
          <w:rFonts w:hint="eastAsia" w:ascii="黑体" w:hAnsi="黑体" w:eastAsia="黑体" w:cs="黑体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9" w:line="560" w:lineRule="exact"/>
        <w:rPr>
          <w:rFonts w:hint="eastAsia" w:ascii="黑体" w:hAnsi="黑体" w:eastAsia="黑体" w:cs="黑体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9" w:line="560" w:lineRule="exact"/>
        <w:rPr>
          <w:rFonts w:hint="eastAsia" w:ascii="黑体" w:hAnsi="黑体" w:eastAsia="黑体" w:cs="黑体"/>
          <w:spacing w:val="-4"/>
          <w:sz w:val="32"/>
          <w:szCs w:val="32"/>
        </w:rPr>
      </w:pPr>
    </w:p>
    <w:p>
      <w:pPr>
        <w:spacing w:before="69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附件</w:t>
      </w:r>
      <w:r>
        <w:rPr>
          <w:rFonts w:ascii="黑体" w:hAnsi="黑体" w:eastAsia="黑体" w:cs="黑体"/>
          <w:spacing w:val="-4"/>
          <w:sz w:val="32"/>
          <w:szCs w:val="32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2026年市级财政衔接推进乡村振兴补助资金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（整镇推进奖补）分配表和任务清单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36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8"/>
          <w:szCs w:val="18"/>
        </w:rPr>
      </w:pPr>
    </w:p>
    <w:tbl>
      <w:tblPr>
        <w:tblStyle w:val="10"/>
        <w:tblW w:w="9635" w:type="dxa"/>
        <w:tblInd w:w="-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487"/>
        <w:gridCol w:w="1779"/>
        <w:gridCol w:w="1410"/>
        <w:gridCol w:w="4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乡镇名单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乡镇类型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补助资金（万元）</w:t>
            </w:r>
          </w:p>
        </w:tc>
        <w:tc>
          <w:tcPr>
            <w:tcW w:w="4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任务清单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西坪镇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农业生态型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4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用于整镇推进项目建设补助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项目预算总投资不低于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龙门镇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工贸带动型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4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用于整镇推进项目建设补助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项目预算总投资不低于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城厢镇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城乡融合型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用于整镇推进项目建设补助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项目预算总投资不低于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40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4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</w:p>
    <w:p/>
    <w:p>
      <w:pPr>
        <w:sectPr>
          <w:footerReference r:id="rId3" w:type="default"/>
          <w:pgSz w:w="11900" w:h="16820"/>
          <w:pgMar w:top="1701" w:right="1474" w:bottom="1587" w:left="1474" w:header="0" w:footer="1400" w:gutter="0"/>
          <w:cols w:space="0" w:num="1"/>
          <w:rtlGutter w:val="0"/>
          <w:docGrid w:linePitch="0" w:charSpace="0"/>
        </w:sectPr>
      </w:pPr>
    </w:p>
    <w:p>
      <w:pPr>
        <w:spacing w:afterLines="100" w:line="560" w:lineRule="exact"/>
        <w:rPr>
          <w:rFonts w:ascii="黑体" w:hAnsi="方正小标宋简体" w:eastAsia="黑体" w:cs="方正小标宋简体"/>
          <w:spacing w:val="-4"/>
          <w:sz w:val="32"/>
          <w:szCs w:val="36"/>
        </w:rPr>
      </w:pPr>
      <w:r>
        <w:rPr>
          <w:rFonts w:hint="eastAsia" w:ascii="黑体" w:hAnsi="方正小标宋简体" w:eastAsia="黑体" w:cs="方正小标宋简体"/>
          <w:spacing w:val="-4"/>
          <w:sz w:val="32"/>
          <w:szCs w:val="36"/>
        </w:rPr>
        <w:t>附件</w:t>
      </w:r>
      <w:r>
        <w:rPr>
          <w:rFonts w:ascii="黑体" w:hAnsi="方正小标宋简体" w:eastAsia="黑体" w:cs="方正小标宋简体"/>
          <w:spacing w:val="-4"/>
          <w:sz w:val="32"/>
          <w:szCs w:val="36"/>
        </w:rPr>
        <w:t>2</w:t>
      </w:r>
    </w:p>
    <w:p>
      <w:pPr>
        <w:spacing w:afterLines="100" w:line="56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32"/>
          <w:szCs w:val="32"/>
          <w:lang w:val="en-US" w:eastAsia="zh-CN"/>
        </w:rPr>
        <w:t>2026年市级财政衔接推进乡村振兴补助资金（整镇推进奖补）</w:t>
      </w:r>
      <w:r>
        <w:rPr>
          <w:rFonts w:hint="eastAsia" w:ascii="方正小标宋简体" w:hAnsi="方正小标宋简体" w:eastAsia="方正小标宋简体" w:cs="方正小标宋简体"/>
          <w:spacing w:val="-4"/>
          <w:sz w:val="32"/>
          <w:szCs w:val="32"/>
        </w:rPr>
        <w:t>绩效目标表</w:t>
      </w:r>
    </w:p>
    <w:tbl>
      <w:tblPr>
        <w:tblStyle w:val="9"/>
        <w:tblW w:w="14395" w:type="dxa"/>
        <w:tblInd w:w="-5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2"/>
        <w:gridCol w:w="1352"/>
        <w:gridCol w:w="1372"/>
        <w:gridCol w:w="1770"/>
        <w:gridCol w:w="3091"/>
        <w:gridCol w:w="1461"/>
        <w:gridCol w:w="1193"/>
        <w:gridCol w:w="964"/>
        <w:gridCol w:w="11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01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项目名称</w:t>
            </w:r>
          </w:p>
        </w:tc>
        <w:tc>
          <w:tcPr>
            <w:tcW w:w="12383" w:type="dxa"/>
            <w:gridSpan w:val="8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2"/>
                <w:szCs w:val="22"/>
                <w:lang w:val="en-US" w:eastAsia="zh-CN"/>
              </w:rPr>
              <w:t>2026年市级财政衔接推进乡村振兴补助资金（整镇推进奖补）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1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主管部门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名称及部门预算编码</w:t>
            </w:r>
          </w:p>
        </w:tc>
        <w:tc>
          <w:tcPr>
            <w:tcW w:w="4494" w:type="dxa"/>
            <w:gridSpan w:val="3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安溪县农业农村局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行政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09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补助项目/区域</w:t>
            </w:r>
          </w:p>
        </w:tc>
        <w:tc>
          <w:tcPr>
            <w:tcW w:w="4798" w:type="dxa"/>
            <w:gridSpan w:val="4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西坪镇、龙门镇、城厢镇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12" w:type="dxa"/>
            <w:vMerge w:val="restart"/>
            <w:tcBorders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专项资金情况</w:t>
            </w:r>
          </w:p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4494" w:type="dxa"/>
            <w:gridSpan w:val="3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资金总额：</w:t>
            </w:r>
          </w:p>
        </w:tc>
        <w:tc>
          <w:tcPr>
            <w:tcW w:w="7889" w:type="dxa"/>
            <w:gridSpan w:val="5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0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494" w:type="dxa"/>
            <w:gridSpan w:val="3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其中：财政拨款</w:t>
            </w:r>
          </w:p>
        </w:tc>
        <w:tc>
          <w:tcPr>
            <w:tcW w:w="7889" w:type="dxa"/>
            <w:gridSpan w:val="5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2012" w:type="dxa"/>
            <w:vMerge w:val="continue"/>
            <w:tcBorders>
              <w:top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494" w:type="dxa"/>
            <w:gridSpan w:val="3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7889" w:type="dxa"/>
            <w:gridSpan w:val="5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201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总体目标</w:t>
            </w:r>
          </w:p>
        </w:tc>
        <w:tc>
          <w:tcPr>
            <w:tcW w:w="1238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after="0" w:line="300" w:lineRule="exact"/>
              <w:ind w:left="261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推动整镇工作，构建特色产业新优势，打造乡村生态新风貌，焕发乡风文明新气象，健全乡村善治新机制，迈出共同富裕新步伐，建设宜居宜业和美乡村。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012" w:type="dxa"/>
            <w:vMerge w:val="restart"/>
            <w:tcBorders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绩效指标</w:t>
            </w:r>
          </w:p>
        </w:tc>
        <w:tc>
          <w:tcPr>
            <w:tcW w:w="135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一级指标</w:t>
            </w:r>
          </w:p>
        </w:tc>
        <w:tc>
          <w:tcPr>
            <w:tcW w:w="137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二级指标</w:t>
            </w:r>
          </w:p>
        </w:tc>
        <w:tc>
          <w:tcPr>
            <w:tcW w:w="177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309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指标解释</w:t>
            </w:r>
          </w:p>
        </w:tc>
        <w:tc>
          <w:tcPr>
            <w:tcW w:w="146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指标性质</w:t>
            </w:r>
          </w:p>
        </w:tc>
        <w:tc>
          <w:tcPr>
            <w:tcW w:w="1193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指标方向</w:t>
            </w:r>
          </w:p>
        </w:tc>
        <w:tc>
          <w:tcPr>
            <w:tcW w:w="964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目标值</w:t>
            </w:r>
          </w:p>
        </w:tc>
        <w:tc>
          <w:tcPr>
            <w:tcW w:w="118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计量单位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0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137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经济成本指标</w:t>
            </w:r>
          </w:p>
        </w:tc>
        <w:tc>
          <w:tcPr>
            <w:tcW w:w="177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扶持金额</w:t>
            </w:r>
          </w:p>
        </w:tc>
        <w:tc>
          <w:tcPr>
            <w:tcW w:w="309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财政预算安排资金金额</w:t>
            </w:r>
          </w:p>
        </w:tc>
        <w:tc>
          <w:tcPr>
            <w:tcW w:w="146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正向</w:t>
            </w:r>
          </w:p>
        </w:tc>
        <w:tc>
          <w:tcPr>
            <w:tcW w:w="1193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等于</w:t>
            </w:r>
          </w:p>
        </w:tc>
        <w:tc>
          <w:tcPr>
            <w:tcW w:w="964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18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0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tcBorders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产出指标</w:t>
            </w:r>
          </w:p>
        </w:tc>
        <w:tc>
          <w:tcPr>
            <w:tcW w:w="1372" w:type="dxa"/>
            <w:tcBorders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177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整镇推进创建乡镇奖补扶持数量</w:t>
            </w:r>
          </w:p>
        </w:tc>
        <w:tc>
          <w:tcPr>
            <w:tcW w:w="309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对乡镇给予奖补</w:t>
            </w:r>
          </w:p>
        </w:tc>
        <w:tc>
          <w:tcPr>
            <w:tcW w:w="146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正向</w:t>
            </w:r>
          </w:p>
        </w:tc>
        <w:tc>
          <w:tcPr>
            <w:tcW w:w="1193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等于</w:t>
            </w:r>
          </w:p>
        </w:tc>
        <w:tc>
          <w:tcPr>
            <w:tcW w:w="964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8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镇次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0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35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177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奖补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  <w:t>对象精准度</w:t>
            </w:r>
          </w:p>
        </w:tc>
        <w:tc>
          <w:tcPr>
            <w:tcW w:w="309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  <w:t>扶持对象是否符合资金管理办法规定</w:t>
            </w:r>
          </w:p>
        </w:tc>
        <w:tc>
          <w:tcPr>
            <w:tcW w:w="146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正向</w:t>
            </w:r>
          </w:p>
        </w:tc>
        <w:tc>
          <w:tcPr>
            <w:tcW w:w="1193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等于</w:t>
            </w:r>
          </w:p>
        </w:tc>
        <w:tc>
          <w:tcPr>
            <w:tcW w:w="964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18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0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352" w:type="dxa"/>
            <w:vMerge w:val="continue"/>
            <w:tcBorders>
              <w:top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时效指标</w:t>
            </w:r>
          </w:p>
        </w:tc>
        <w:tc>
          <w:tcPr>
            <w:tcW w:w="177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资金使用率</w:t>
            </w:r>
          </w:p>
        </w:tc>
        <w:tc>
          <w:tcPr>
            <w:tcW w:w="309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当年奖补资金支出进度</w:t>
            </w:r>
          </w:p>
        </w:tc>
        <w:tc>
          <w:tcPr>
            <w:tcW w:w="146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正向</w:t>
            </w:r>
          </w:p>
        </w:tc>
        <w:tc>
          <w:tcPr>
            <w:tcW w:w="1193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等于</w:t>
            </w:r>
          </w:p>
        </w:tc>
        <w:tc>
          <w:tcPr>
            <w:tcW w:w="964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18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0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效益指标</w:t>
            </w:r>
          </w:p>
        </w:tc>
        <w:tc>
          <w:tcPr>
            <w:tcW w:w="137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经济效益指标</w:t>
            </w:r>
          </w:p>
        </w:tc>
        <w:tc>
          <w:tcPr>
            <w:tcW w:w="177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  <w:t>项目总投资</w:t>
            </w:r>
          </w:p>
        </w:tc>
        <w:tc>
          <w:tcPr>
            <w:tcW w:w="309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所有项目投资金额</w:t>
            </w:r>
          </w:p>
        </w:tc>
        <w:tc>
          <w:tcPr>
            <w:tcW w:w="146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正向</w:t>
            </w:r>
          </w:p>
        </w:tc>
        <w:tc>
          <w:tcPr>
            <w:tcW w:w="1193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大于等于</w:t>
            </w:r>
          </w:p>
        </w:tc>
        <w:tc>
          <w:tcPr>
            <w:tcW w:w="964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72</w:t>
            </w:r>
          </w:p>
        </w:tc>
        <w:tc>
          <w:tcPr>
            <w:tcW w:w="118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0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352" w:type="dxa"/>
            <w:vMerge w:val="continue"/>
            <w:tcBorders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both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</w:p>
        </w:tc>
        <w:tc>
          <w:tcPr>
            <w:tcW w:w="137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77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资金使用未发生违规违纪情况。</w:t>
            </w:r>
          </w:p>
        </w:tc>
        <w:tc>
          <w:tcPr>
            <w:tcW w:w="309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资金使用是否发生违规违纪情况</w:t>
            </w:r>
          </w:p>
        </w:tc>
        <w:tc>
          <w:tcPr>
            <w:tcW w:w="146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定性</w:t>
            </w:r>
          </w:p>
        </w:tc>
        <w:tc>
          <w:tcPr>
            <w:tcW w:w="1193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18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012" w:type="dxa"/>
            <w:vMerge w:val="continue"/>
            <w:tcBorders>
              <w:top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满意度指标</w:t>
            </w:r>
          </w:p>
        </w:tc>
        <w:tc>
          <w:tcPr>
            <w:tcW w:w="137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服务对象满意度指标</w:t>
            </w:r>
          </w:p>
        </w:tc>
        <w:tc>
          <w:tcPr>
            <w:tcW w:w="177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服务对象满意度</w:t>
            </w:r>
          </w:p>
        </w:tc>
        <w:tc>
          <w:tcPr>
            <w:tcW w:w="309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考察群众满意度情况</w:t>
            </w:r>
          </w:p>
        </w:tc>
        <w:tc>
          <w:tcPr>
            <w:tcW w:w="146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正向</w:t>
            </w:r>
          </w:p>
        </w:tc>
        <w:tc>
          <w:tcPr>
            <w:tcW w:w="1193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大于等于</w:t>
            </w:r>
          </w:p>
        </w:tc>
        <w:tc>
          <w:tcPr>
            <w:tcW w:w="964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95</w:t>
            </w:r>
          </w:p>
        </w:tc>
        <w:tc>
          <w:tcPr>
            <w:tcW w:w="118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%</w:t>
            </w:r>
          </w:p>
        </w:tc>
      </w:tr>
    </w:tbl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  <w:sectPr>
          <w:headerReference r:id="rId4" w:type="default"/>
          <w:footerReference r:id="rId5" w:type="default"/>
          <w:pgSz w:w="16838" w:h="11906" w:orient="landscape"/>
          <w:pgMar w:top="1474" w:right="1701" w:bottom="1474" w:left="1588" w:header="709" w:footer="709" w:gutter="0"/>
          <w:pgNumType w:fmt="numberInDash"/>
          <w:cols w:space="0" w:num="1"/>
          <w:rtlGutter w:val="0"/>
          <w:docGrid w:linePitch="360" w:charSpace="0"/>
        </w:sect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469265</wp:posOffset>
                </wp:positionV>
                <wp:extent cx="5415915" cy="3175"/>
                <wp:effectExtent l="0" t="0" r="0" b="0"/>
                <wp:wrapNone/>
                <wp:docPr id="4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5915" cy="31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6.75pt;margin-top:36.95pt;height:0.25pt;width:426.45pt;z-index:251661312;mso-width-relative:page;mso-height-relative:page;" filled="f" stroked="t" coordsize="21600,21600" o:gfxdata="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Wbjo1NkAAAAJAQAADwAAAAAAAAABACAA&#10;AAAiAAAAZHJzL2Rvd25yZXYueG1sUEsBAhQAFAAAAAgAh07iQPiuS8rTAQAAngMAAA4AAAAAAAAA&#10;AQAgAAAAKA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443865</wp:posOffset>
                </wp:positionV>
                <wp:extent cx="5415915" cy="317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5915" cy="31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8.25pt;margin-top:34.95pt;height:0.25pt;width:426.45pt;z-index:251659264;mso-width-relative:page;mso-height-relative:page;" filled="f" stroked="t" coordsize="21600,21600" o:gfxdata="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57NBWNkAAAAJAQAADwAAAAAAAAABACAA&#10;AAAiAAAAZHJzL2Rvd25yZXYueG1sUEsBAhQAFAAAAAgAh07iQFc9n07TAQAAngMAAA4AAAAAAAAA&#10;AQAgAAAAKA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安溪县农业农村局办公室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发</w:t>
      </w:r>
    </w:p>
    <w:sectPr>
      <w:pgSz w:w="11906" w:h="16838"/>
      <w:pgMar w:top="1587" w:right="1814" w:bottom="1587" w:left="1984" w:header="709" w:footer="709" w:gutter="0"/>
      <w:pgNumType w:fmt="numberInDash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 w:cs="宋体"/>
        <w:sz w:val="27"/>
        <w:szCs w:val="27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  <w:rFonts w:ascii="宋体" w:hAnsi="宋体" w:eastAsia="宋体" w:cs="Tahoma"/>
        <w:sz w:val="28"/>
        <w:szCs w:val="28"/>
      </w:rPr>
    </w:pPr>
    <w:r>
      <w:rPr>
        <w:rStyle w:val="8"/>
        <w:rFonts w:ascii="宋体" w:hAnsi="宋体" w:eastAsia="宋体" w:cs="宋体"/>
        <w:sz w:val="28"/>
        <w:szCs w:val="28"/>
      </w:rPr>
      <w:fldChar w:fldCharType="begin"/>
    </w:r>
    <w:r>
      <w:rPr>
        <w:rStyle w:val="8"/>
        <w:rFonts w:ascii="宋体" w:hAnsi="宋体" w:eastAsia="宋体" w:cs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 w:cs="宋体"/>
        <w:sz w:val="28"/>
        <w:szCs w:val="28"/>
      </w:rPr>
      <w:fldChar w:fldCharType="separate"/>
    </w:r>
    <w:r>
      <w:rPr>
        <w:rStyle w:val="8"/>
        <w:rFonts w:ascii="宋体" w:hAnsi="宋体" w:eastAsia="宋体" w:cs="宋体"/>
        <w:sz w:val="28"/>
        <w:szCs w:val="28"/>
      </w:rPr>
      <w:t>- 1 -</w:t>
    </w:r>
    <w:r>
      <w:rPr>
        <w:rStyle w:val="8"/>
        <w:rFonts w:ascii="宋体" w:hAnsi="宋体" w:eastAsia="宋体" w:cs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720"/>
  <w:doNotHyphenateCaps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WQwZDRjNmRlM2NjZTk0ZjQ1YWI4ZjM0ZTk2YzAifQ=="/>
    <w:docVar w:name="KSO_WPS_MARK_KEY" w:val="c1a9980b-0984-48a4-81b3-34ba6246b3ee"/>
  </w:docVars>
  <w:rsids>
    <w:rsidRoot w:val="00D31D50"/>
    <w:rsid w:val="00004B8D"/>
    <w:rsid w:val="00012B66"/>
    <w:rsid w:val="00026857"/>
    <w:rsid w:val="00030C80"/>
    <w:rsid w:val="0003292C"/>
    <w:rsid w:val="00040F20"/>
    <w:rsid w:val="0007670B"/>
    <w:rsid w:val="00085B1D"/>
    <w:rsid w:val="000865BD"/>
    <w:rsid w:val="00097266"/>
    <w:rsid w:val="000B577E"/>
    <w:rsid w:val="000C479E"/>
    <w:rsid w:val="000F3083"/>
    <w:rsid w:val="001012A7"/>
    <w:rsid w:val="001012C6"/>
    <w:rsid w:val="0010326A"/>
    <w:rsid w:val="00105313"/>
    <w:rsid w:val="00116F53"/>
    <w:rsid w:val="00137AC7"/>
    <w:rsid w:val="00141DF6"/>
    <w:rsid w:val="00183664"/>
    <w:rsid w:val="0019755C"/>
    <w:rsid w:val="001A43F8"/>
    <w:rsid w:val="001C28B4"/>
    <w:rsid w:val="001C3E07"/>
    <w:rsid w:val="001C5506"/>
    <w:rsid w:val="002164E8"/>
    <w:rsid w:val="00220A19"/>
    <w:rsid w:val="0022138C"/>
    <w:rsid w:val="002C23AE"/>
    <w:rsid w:val="002E4038"/>
    <w:rsid w:val="00306B2C"/>
    <w:rsid w:val="00312C39"/>
    <w:rsid w:val="00323B43"/>
    <w:rsid w:val="00331B94"/>
    <w:rsid w:val="003506CB"/>
    <w:rsid w:val="00355120"/>
    <w:rsid w:val="0036008E"/>
    <w:rsid w:val="00364F81"/>
    <w:rsid w:val="00370654"/>
    <w:rsid w:val="00376CE2"/>
    <w:rsid w:val="0039122D"/>
    <w:rsid w:val="0039719F"/>
    <w:rsid w:val="003B3376"/>
    <w:rsid w:val="003D196D"/>
    <w:rsid w:val="003D37D8"/>
    <w:rsid w:val="003E3C01"/>
    <w:rsid w:val="003E4DA0"/>
    <w:rsid w:val="00402D4A"/>
    <w:rsid w:val="00426133"/>
    <w:rsid w:val="0043339A"/>
    <w:rsid w:val="0043408A"/>
    <w:rsid w:val="004358AB"/>
    <w:rsid w:val="004622B5"/>
    <w:rsid w:val="00475600"/>
    <w:rsid w:val="004A002C"/>
    <w:rsid w:val="004A0259"/>
    <w:rsid w:val="004B1513"/>
    <w:rsid w:val="004C48C8"/>
    <w:rsid w:val="004C55B8"/>
    <w:rsid w:val="004E3749"/>
    <w:rsid w:val="004E522C"/>
    <w:rsid w:val="004F05E0"/>
    <w:rsid w:val="004F6FDC"/>
    <w:rsid w:val="005055BB"/>
    <w:rsid w:val="00522D1A"/>
    <w:rsid w:val="00532F39"/>
    <w:rsid w:val="00552A44"/>
    <w:rsid w:val="00585513"/>
    <w:rsid w:val="0059156C"/>
    <w:rsid w:val="005C7DBB"/>
    <w:rsid w:val="005E5473"/>
    <w:rsid w:val="005F6143"/>
    <w:rsid w:val="00601B8F"/>
    <w:rsid w:val="006427CC"/>
    <w:rsid w:val="00664172"/>
    <w:rsid w:val="0066531B"/>
    <w:rsid w:val="0066554D"/>
    <w:rsid w:val="006753B1"/>
    <w:rsid w:val="006759D8"/>
    <w:rsid w:val="00682795"/>
    <w:rsid w:val="006E53B5"/>
    <w:rsid w:val="007104F9"/>
    <w:rsid w:val="00731381"/>
    <w:rsid w:val="00766CFE"/>
    <w:rsid w:val="00771A98"/>
    <w:rsid w:val="007852AE"/>
    <w:rsid w:val="007C22D2"/>
    <w:rsid w:val="007D0CC1"/>
    <w:rsid w:val="007E18E3"/>
    <w:rsid w:val="00814002"/>
    <w:rsid w:val="00817313"/>
    <w:rsid w:val="008176F8"/>
    <w:rsid w:val="00821F80"/>
    <w:rsid w:val="00832BF4"/>
    <w:rsid w:val="00842624"/>
    <w:rsid w:val="00860E9A"/>
    <w:rsid w:val="008659D6"/>
    <w:rsid w:val="00874410"/>
    <w:rsid w:val="00876F14"/>
    <w:rsid w:val="0087752B"/>
    <w:rsid w:val="00894B05"/>
    <w:rsid w:val="008A20BC"/>
    <w:rsid w:val="008A7A79"/>
    <w:rsid w:val="008B7726"/>
    <w:rsid w:val="008C689B"/>
    <w:rsid w:val="0091095A"/>
    <w:rsid w:val="009136E8"/>
    <w:rsid w:val="00917B71"/>
    <w:rsid w:val="00920196"/>
    <w:rsid w:val="00936A06"/>
    <w:rsid w:val="009449BF"/>
    <w:rsid w:val="00954178"/>
    <w:rsid w:val="0097143E"/>
    <w:rsid w:val="0097164D"/>
    <w:rsid w:val="00974C17"/>
    <w:rsid w:val="00975C70"/>
    <w:rsid w:val="00982002"/>
    <w:rsid w:val="0099661C"/>
    <w:rsid w:val="009C0C4E"/>
    <w:rsid w:val="009E6CA1"/>
    <w:rsid w:val="009F000E"/>
    <w:rsid w:val="009F4390"/>
    <w:rsid w:val="00A169EC"/>
    <w:rsid w:val="00A36AA8"/>
    <w:rsid w:val="00A36F20"/>
    <w:rsid w:val="00A81DF9"/>
    <w:rsid w:val="00AA0D73"/>
    <w:rsid w:val="00AA7E85"/>
    <w:rsid w:val="00AB3212"/>
    <w:rsid w:val="00AC1FC8"/>
    <w:rsid w:val="00AC35F5"/>
    <w:rsid w:val="00AE0ADF"/>
    <w:rsid w:val="00AE6584"/>
    <w:rsid w:val="00AF4EDA"/>
    <w:rsid w:val="00B04CB9"/>
    <w:rsid w:val="00B17A7E"/>
    <w:rsid w:val="00B23A3B"/>
    <w:rsid w:val="00B257C1"/>
    <w:rsid w:val="00B26CFB"/>
    <w:rsid w:val="00B457C8"/>
    <w:rsid w:val="00B47579"/>
    <w:rsid w:val="00B51EFD"/>
    <w:rsid w:val="00B53A18"/>
    <w:rsid w:val="00B7440C"/>
    <w:rsid w:val="00BA1A4E"/>
    <w:rsid w:val="00C05A30"/>
    <w:rsid w:val="00C30B89"/>
    <w:rsid w:val="00C46E4D"/>
    <w:rsid w:val="00C61BC0"/>
    <w:rsid w:val="00C9266A"/>
    <w:rsid w:val="00C97ACB"/>
    <w:rsid w:val="00CA4D32"/>
    <w:rsid w:val="00CC0BC7"/>
    <w:rsid w:val="00CC39AC"/>
    <w:rsid w:val="00CD2BAA"/>
    <w:rsid w:val="00CE2D3D"/>
    <w:rsid w:val="00CF7548"/>
    <w:rsid w:val="00D151CC"/>
    <w:rsid w:val="00D15D1B"/>
    <w:rsid w:val="00D257D6"/>
    <w:rsid w:val="00D27550"/>
    <w:rsid w:val="00D308F7"/>
    <w:rsid w:val="00D31D50"/>
    <w:rsid w:val="00D5180F"/>
    <w:rsid w:val="00D63045"/>
    <w:rsid w:val="00D73A42"/>
    <w:rsid w:val="00DA5D27"/>
    <w:rsid w:val="00DC6E2B"/>
    <w:rsid w:val="00DD7993"/>
    <w:rsid w:val="00DF3FDA"/>
    <w:rsid w:val="00E02F59"/>
    <w:rsid w:val="00E421C1"/>
    <w:rsid w:val="00E47B94"/>
    <w:rsid w:val="00E60285"/>
    <w:rsid w:val="00E72F53"/>
    <w:rsid w:val="00E81BF4"/>
    <w:rsid w:val="00E831F1"/>
    <w:rsid w:val="00EB1FDB"/>
    <w:rsid w:val="00EC307B"/>
    <w:rsid w:val="00F13D8D"/>
    <w:rsid w:val="00F71966"/>
    <w:rsid w:val="00F8152A"/>
    <w:rsid w:val="00FB2525"/>
    <w:rsid w:val="00FC70B1"/>
    <w:rsid w:val="00FD0875"/>
    <w:rsid w:val="00FD220F"/>
    <w:rsid w:val="00FF3845"/>
    <w:rsid w:val="03352594"/>
    <w:rsid w:val="0C1E558E"/>
    <w:rsid w:val="0D453F77"/>
    <w:rsid w:val="0DD27F73"/>
    <w:rsid w:val="10E33FB9"/>
    <w:rsid w:val="1235133C"/>
    <w:rsid w:val="144F708D"/>
    <w:rsid w:val="18163111"/>
    <w:rsid w:val="19610E8A"/>
    <w:rsid w:val="1E4206A7"/>
    <w:rsid w:val="1F95155F"/>
    <w:rsid w:val="2102357F"/>
    <w:rsid w:val="24494677"/>
    <w:rsid w:val="2E982260"/>
    <w:rsid w:val="3114752D"/>
    <w:rsid w:val="31BA6D3F"/>
    <w:rsid w:val="32FC3D92"/>
    <w:rsid w:val="34510EA5"/>
    <w:rsid w:val="34B23386"/>
    <w:rsid w:val="3B693BF6"/>
    <w:rsid w:val="3E935609"/>
    <w:rsid w:val="40BB330B"/>
    <w:rsid w:val="41646838"/>
    <w:rsid w:val="42FF655D"/>
    <w:rsid w:val="463A635E"/>
    <w:rsid w:val="46647A6F"/>
    <w:rsid w:val="49BB2FB0"/>
    <w:rsid w:val="4A0D5A0D"/>
    <w:rsid w:val="4AB83123"/>
    <w:rsid w:val="4B476E39"/>
    <w:rsid w:val="522C16C9"/>
    <w:rsid w:val="53D56B2B"/>
    <w:rsid w:val="557755CD"/>
    <w:rsid w:val="5C313545"/>
    <w:rsid w:val="641406DD"/>
    <w:rsid w:val="66E45F7A"/>
    <w:rsid w:val="6A732273"/>
    <w:rsid w:val="6DAB182B"/>
    <w:rsid w:val="751E5713"/>
    <w:rsid w:val="794E7423"/>
    <w:rsid w:val="7A8859A0"/>
    <w:rsid w:val="7B75797C"/>
    <w:rsid w:val="7F92398C"/>
    <w:rsid w:val="7FA22613"/>
    <w:rsid w:val="EE2E65C1"/>
    <w:rsid w:val="FFF2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99"/>
    <w:pPr>
      <w:spacing w:after="0"/>
      <w:ind w:left="0" w:leftChars="0" w:firstLine="420" w:firstLineChars="200"/>
    </w:pPr>
    <w:rPr>
      <w:rFonts w:ascii="宋体" w:hAnsi="宋体"/>
      <w:sz w:val="28"/>
      <w:szCs w:val="28"/>
    </w:rPr>
  </w:style>
  <w:style w:type="paragraph" w:customStyle="1" w:styleId="3">
    <w:name w:val="BodyTextIndent"/>
    <w:basedOn w:val="1"/>
    <w:qFormat/>
    <w:uiPriority w:val="99"/>
    <w:pPr>
      <w:spacing w:after="120"/>
      <w:ind w:left="420" w:leftChars="200"/>
      <w:textAlignment w:val="baseline"/>
    </w:pPr>
  </w:style>
  <w:style w:type="paragraph" w:styleId="4">
    <w:name w:val="Date"/>
    <w:basedOn w:val="1"/>
    <w:next w:val="1"/>
    <w:link w:val="11"/>
    <w:semiHidden/>
    <w:qFormat/>
    <w:uiPriority w:val="99"/>
    <w:pPr>
      <w:ind w:left="100" w:leftChars="2500"/>
    </w:pPr>
  </w:style>
  <w:style w:type="paragraph" w:styleId="5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table" w:styleId="10">
    <w:name w:val="Table Grid"/>
    <w:basedOn w:val="9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日期 Char"/>
    <w:basedOn w:val="7"/>
    <w:link w:val="4"/>
    <w:semiHidden/>
    <w:qFormat/>
    <w:locked/>
    <w:uiPriority w:val="99"/>
    <w:rPr>
      <w:rFonts w:ascii="Tahoma" w:hAnsi="Tahoma" w:cs="Tahoma"/>
    </w:rPr>
  </w:style>
  <w:style w:type="character" w:customStyle="1" w:styleId="12">
    <w:name w:val="页脚 Char"/>
    <w:basedOn w:val="7"/>
    <w:link w:val="5"/>
    <w:semiHidden/>
    <w:qFormat/>
    <w:locked/>
    <w:uiPriority w:val="99"/>
    <w:rPr>
      <w:rFonts w:ascii="Tahoma" w:hAnsi="Tahoma" w:cs="Tahoma"/>
      <w:sz w:val="18"/>
      <w:szCs w:val="18"/>
    </w:rPr>
  </w:style>
  <w:style w:type="character" w:customStyle="1" w:styleId="13">
    <w:name w:val="页眉 Char"/>
    <w:basedOn w:val="7"/>
    <w:link w:val="6"/>
    <w:semiHidden/>
    <w:qFormat/>
    <w:locked/>
    <w:uiPriority w:val="99"/>
    <w:rPr>
      <w:rFonts w:ascii="Tahoma" w:hAnsi="Tahoma" w:cs="Tahoma"/>
      <w:sz w:val="18"/>
      <w:szCs w:val="18"/>
    </w:rPr>
  </w:style>
  <w:style w:type="table" w:customStyle="1" w:styleId="14">
    <w:name w:val="Table Normal1"/>
    <w:semiHidden/>
    <w:qFormat/>
    <w:uiPriority w:val="99"/>
    <w:rPr>
      <w:rFonts w:ascii="Arial" w:hAnsi="Arial" w:eastAsia="宋体" w:cs="Arial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1147</Words>
  <Characters>1215</Characters>
  <Lines>2</Lines>
  <Paragraphs>1</Paragraphs>
  <TotalTime>0</TotalTime>
  <ScaleCrop>false</ScaleCrop>
  <LinksUpToDate>false</LinksUpToDate>
  <CharactersWithSpaces>1229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2021-06-18T09:31:00Z</dcterms:created>
  <dc:creator>Windows User</dc:creator>
  <cp:lastModifiedBy>Administrator</cp:lastModifiedBy>
  <cp:lastPrinted>2026-02-11T06:54:44Z</cp:lastPrinted>
  <dcterms:modified xsi:type="dcterms:W3CDTF">2026-02-11T06:54:50Z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  <property fmtid="{D5CDD505-2E9C-101B-9397-08002B2CF9AE}" pid="3" name="ICV">
    <vt:lpwstr>26A6E9A3B65B408DA0B90C053F435DBF_13</vt:lpwstr>
  </property>
  <property fmtid="{D5CDD505-2E9C-101B-9397-08002B2CF9AE}" pid="4" name="KSOTemplateDocerSaveRecord">
    <vt:lpwstr>eyJoZGlkIjoiYTllMWQwZDRjNmRlM2NjZTk0ZjQ1YWI4ZjM0ZTk2YzAiLCJ1c2VySWQiOiIyNzc4MTI4MjEifQ==</vt:lpwstr>
  </property>
</Properties>
</file>