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158" w:type="dxa"/>
        <w:tblInd w:w="0" w:type="dxa"/>
        <w:tblLayout w:type="fixed"/>
        <w:tblCellMar>
          <w:top w:w="0" w:type="dxa"/>
          <w:left w:w="108" w:type="dxa"/>
          <w:bottom w:w="0" w:type="dxa"/>
          <w:right w:w="108" w:type="dxa"/>
        </w:tblCellMar>
      </w:tblPr>
      <w:tblGrid>
        <w:gridCol w:w="7238"/>
        <w:gridCol w:w="1920"/>
      </w:tblGrid>
      <w:tr w14:paraId="7E8E26DC">
        <w:trPr>
          <w:trHeight w:val="913" w:hRule="atLeast"/>
        </w:trPr>
        <w:tc>
          <w:tcPr>
            <w:tcW w:w="7238" w:type="dxa"/>
            <w:vAlign w:val="center"/>
          </w:tcPr>
          <w:p w14:paraId="40F09576">
            <w:pPr>
              <w:jc w:val="distribute"/>
              <w:rPr>
                <w:rFonts w:ascii="方正小标宋简体" w:hAnsi="方正小标宋简体" w:eastAsia="方正小标宋简体" w:cs="方正小标宋简体"/>
                <w:color w:val="FF0000"/>
                <w:sz w:val="52"/>
                <w:szCs w:val="52"/>
              </w:rPr>
            </w:pPr>
            <w:r>
              <w:rPr>
                <w:rFonts w:hint="eastAsia" w:ascii="方正小标宋简体" w:eastAsia="方正小标宋简体"/>
                <w:color w:val="FF0000"/>
                <w:spacing w:val="11"/>
                <w:sz w:val="72"/>
                <w:szCs w:val="72"/>
                <w:lang w:eastAsia="zh-CN"/>
              </w:rPr>
              <w:t>安溪县</w:t>
            </w:r>
            <w:r>
              <w:rPr>
                <w:rFonts w:hint="eastAsia" w:ascii="方正小标宋简体" w:eastAsia="方正小标宋简体"/>
                <w:color w:val="FF0000"/>
                <w:spacing w:val="11"/>
                <w:sz w:val="72"/>
                <w:szCs w:val="72"/>
              </w:rPr>
              <w:t>农业农村局</w:t>
            </w:r>
          </w:p>
        </w:tc>
        <w:tc>
          <w:tcPr>
            <w:tcW w:w="1920" w:type="dxa"/>
            <w:vMerge w:val="restart"/>
            <w:vAlign w:val="center"/>
          </w:tcPr>
          <w:p w14:paraId="6D0EEB6B">
            <w:pPr>
              <w:jc w:val="distribute"/>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color w:val="FF0000"/>
                <w:sz w:val="84"/>
                <w:szCs w:val="84"/>
                <w:lang w:eastAsia="zh-CN"/>
              </w:rPr>
              <w:t>文件</w:t>
            </w:r>
          </w:p>
        </w:tc>
      </w:tr>
      <w:tr w14:paraId="0F885EEE">
        <w:tblPrEx>
          <w:tblCellMar>
            <w:top w:w="0" w:type="dxa"/>
            <w:left w:w="108" w:type="dxa"/>
            <w:bottom w:w="0" w:type="dxa"/>
            <w:right w:w="108" w:type="dxa"/>
          </w:tblCellMar>
        </w:tblPrEx>
        <w:trPr>
          <w:trHeight w:val="769" w:hRule="atLeast"/>
        </w:trPr>
        <w:tc>
          <w:tcPr>
            <w:tcW w:w="7238" w:type="dxa"/>
            <w:vAlign w:val="center"/>
          </w:tcPr>
          <w:p w14:paraId="656F5E72">
            <w:pPr>
              <w:jc w:val="distribute"/>
              <w:rPr>
                <w:rFonts w:hint="eastAsia" w:ascii="方正小标宋简体" w:hAnsi="方正小标宋简体" w:eastAsia="方正小标宋简体" w:cs="方正小标宋简体"/>
                <w:color w:val="FF0000"/>
                <w:sz w:val="52"/>
                <w:szCs w:val="52"/>
                <w:lang w:eastAsia="zh-CN"/>
              </w:rPr>
            </w:pPr>
            <w:r>
              <w:rPr>
                <w:rFonts w:hint="eastAsia" w:ascii="方正小标宋简体" w:eastAsia="方正小标宋简体"/>
                <w:color w:val="FF0000"/>
                <w:spacing w:val="-23"/>
                <w:w w:val="95"/>
                <w:sz w:val="72"/>
                <w:szCs w:val="72"/>
                <w:lang w:eastAsia="zh-CN"/>
              </w:rPr>
              <w:t>安溪县</w:t>
            </w:r>
            <w:r>
              <w:rPr>
                <w:rFonts w:hint="eastAsia" w:ascii="方正小标宋简体" w:eastAsia="方正小标宋简体"/>
                <w:color w:val="FF0000"/>
                <w:spacing w:val="-23"/>
                <w:w w:val="95"/>
                <w:sz w:val="72"/>
                <w:szCs w:val="72"/>
              </w:rPr>
              <w:t>发展和改革</w:t>
            </w:r>
            <w:r>
              <w:rPr>
                <w:rFonts w:hint="eastAsia" w:ascii="方正小标宋简体" w:eastAsia="方正小标宋简体"/>
                <w:color w:val="FF0000"/>
                <w:spacing w:val="-23"/>
                <w:w w:val="95"/>
                <w:sz w:val="72"/>
                <w:szCs w:val="72"/>
                <w:lang w:eastAsia="zh-CN"/>
              </w:rPr>
              <w:t>局</w:t>
            </w:r>
          </w:p>
        </w:tc>
        <w:tc>
          <w:tcPr>
            <w:tcW w:w="1920" w:type="dxa"/>
            <w:vMerge w:val="continue"/>
            <w:vAlign w:val="center"/>
          </w:tcPr>
          <w:p w14:paraId="37E3D375">
            <w:pPr>
              <w:widowControl/>
              <w:spacing w:line="240" w:lineRule="atLeast"/>
              <w:jc w:val="left"/>
              <w:rPr>
                <w:rFonts w:ascii="方正小标宋简体" w:hAnsi="方正小标宋简体" w:eastAsia="方正小标宋简体" w:cs="方正小标宋简体"/>
                <w:bCs/>
                <w:spacing w:val="-2"/>
                <w:w w:val="26"/>
                <w:kern w:val="0"/>
                <w:sz w:val="84"/>
                <w:szCs w:val="84"/>
              </w:rPr>
            </w:pPr>
          </w:p>
        </w:tc>
      </w:tr>
      <w:tr w14:paraId="02B62104">
        <w:tblPrEx>
          <w:tblCellMar>
            <w:top w:w="0" w:type="dxa"/>
            <w:left w:w="108" w:type="dxa"/>
            <w:bottom w:w="0" w:type="dxa"/>
            <w:right w:w="108" w:type="dxa"/>
          </w:tblCellMar>
        </w:tblPrEx>
        <w:trPr>
          <w:trHeight w:val="1078" w:hRule="atLeast"/>
        </w:trPr>
        <w:tc>
          <w:tcPr>
            <w:tcW w:w="7238" w:type="dxa"/>
            <w:vAlign w:val="center"/>
          </w:tcPr>
          <w:p w14:paraId="562AAF6B">
            <w:pPr>
              <w:jc w:val="distribute"/>
              <w:rPr>
                <w:rFonts w:ascii="方正小标宋简体" w:eastAsia="方正小标宋简体"/>
                <w:color w:val="FF0000"/>
                <w:spacing w:val="11"/>
                <w:sz w:val="52"/>
                <w:szCs w:val="52"/>
              </w:rPr>
            </w:pPr>
            <w:r>
              <w:rPr>
                <w:rFonts w:hint="eastAsia" w:ascii="方正小标宋简体" w:eastAsia="方正小标宋简体"/>
                <w:color w:val="FF0000"/>
                <w:spacing w:val="11"/>
                <w:sz w:val="72"/>
                <w:szCs w:val="72"/>
                <w:lang w:eastAsia="zh-CN"/>
              </w:rPr>
              <w:t>安溪县</w:t>
            </w:r>
            <w:r>
              <w:rPr>
                <w:rFonts w:hint="eastAsia" w:ascii="方正小标宋简体" w:eastAsia="方正小标宋简体"/>
                <w:color w:val="FF0000"/>
                <w:spacing w:val="11"/>
                <w:sz w:val="72"/>
                <w:szCs w:val="72"/>
              </w:rPr>
              <w:t>财政局</w:t>
            </w:r>
          </w:p>
        </w:tc>
        <w:tc>
          <w:tcPr>
            <w:tcW w:w="1920" w:type="dxa"/>
            <w:vMerge w:val="continue"/>
            <w:vAlign w:val="center"/>
          </w:tcPr>
          <w:p w14:paraId="214AA3C6">
            <w:pPr>
              <w:widowControl/>
              <w:spacing w:line="240" w:lineRule="atLeast"/>
              <w:jc w:val="left"/>
              <w:rPr>
                <w:rFonts w:ascii="方正小标宋简体" w:hAnsi="方正小标宋简体" w:eastAsia="方正小标宋简体" w:cs="方正小标宋简体"/>
                <w:bCs/>
                <w:spacing w:val="-2"/>
                <w:w w:val="26"/>
                <w:kern w:val="0"/>
                <w:sz w:val="84"/>
                <w:szCs w:val="84"/>
              </w:rPr>
            </w:pPr>
          </w:p>
        </w:tc>
      </w:tr>
    </w:tbl>
    <w:p w14:paraId="4E1D7F4B">
      <w:pPr>
        <w:pStyle w:val="13"/>
        <w:ind w:left="0" w:leftChars="0" w:firstLine="0" w:firstLineChars="0"/>
        <w:jc w:val="left"/>
        <w:rPr>
          <w:rFonts w:hint="default" w:eastAsia="仿宋_GB2312"/>
          <w:lang w:val="en-US" w:eastAsia="zh-CN"/>
        </w:rPr>
      </w:pPr>
    </w:p>
    <w:p w14:paraId="437A63C8">
      <w:pPr>
        <w:pStyle w:val="18"/>
        <w:ind w:left="-4" w:leftChars="-144" w:hanging="457" w:hangingChars="143"/>
        <w:jc w:val="both"/>
        <w:rPr>
          <w:rFonts w:hint="eastAsia" w:ascii="仿宋" w:hAnsi="仿宋" w:eastAsia="仿宋"/>
          <w:sz w:val="32"/>
          <w:szCs w:val="32"/>
        </w:rPr>
      </w:pPr>
    </w:p>
    <w:p w14:paraId="6C165231">
      <w:pPr>
        <w:pStyle w:val="18"/>
        <w:ind w:left="-4" w:leftChars="-144" w:hanging="457" w:hangingChars="143"/>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501015</wp:posOffset>
                </wp:positionV>
                <wp:extent cx="5943600" cy="0"/>
                <wp:effectExtent l="0" t="10795" r="0" b="17780"/>
                <wp:wrapSquare wrapText="bothSides"/>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9.45pt;height:0pt;width:468pt;mso-wrap-distance-bottom:0pt;mso-wrap-distance-left:9pt;mso-wrap-distance-right:9pt;mso-wrap-distance-top:0pt;z-index:251660288;mso-width-relative:page;mso-height-relative:page;" filled="f" stroked="t" coordsize="21600,21600" o:gfxdata="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pSV7HVAAAABgEAAA8AAAAAAAAAAQAgAAAAIgAAAGRycy9kb3ducmV2LnhtbFBLAQIU&#10;ABQAAAAIAIdO4kDb/yBs9gEAAOUDAAAOAAAAAAAAAAEAIAAAACQBAABkcnMvZTJvRG9jLnhtbFBL&#10;BQYAAAAABgAGAFkBAACMBQAAAAA=&#10;">
                <v:fill on="f" focussize="0,0"/>
                <v:stroke weight="1.75pt" color="#FF0000" joinstyle="round"/>
                <v:imagedata o:title=""/>
                <o:lock v:ext="edit" aspectratio="f"/>
                <w10:wrap type="square"/>
              </v:line>
            </w:pict>
          </mc:Fallback>
        </mc:AlternateContent>
      </w:r>
      <w:r>
        <w:rPr>
          <w:rFonts w:hint="eastAsia" w:ascii="仿宋_GB2312" w:hAnsi="仿宋_GB2312" w:eastAsia="仿宋_GB2312" w:cs="仿宋_GB2312"/>
          <w:sz w:val="32"/>
          <w:szCs w:val="32"/>
          <w:lang w:eastAsia="zh-CN"/>
        </w:rPr>
        <w:t>安</w:t>
      </w:r>
      <w:r>
        <w:rPr>
          <w:rFonts w:hint="eastAsia" w:ascii="仿宋_GB2312" w:hAnsi="仿宋_GB2312" w:eastAsia="仿宋_GB2312" w:cs="仿宋_GB2312"/>
          <w:sz w:val="32"/>
          <w:szCs w:val="32"/>
        </w:rPr>
        <w:t>农</w:t>
      </w:r>
      <w:r>
        <w:rPr>
          <w:rFonts w:hint="eastAsia" w:ascii="仿宋_GB2312" w:hAnsi="仿宋_GB2312" w:eastAsia="仿宋_GB2312" w:cs="仿宋_GB2312"/>
          <w:sz w:val="32"/>
          <w:szCs w:val="32"/>
          <w:lang w:eastAsia="zh-CN"/>
        </w:rPr>
        <w:t>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p>
    <w:p w14:paraId="515B0FE8">
      <w:pPr>
        <w:pStyle w:val="3"/>
        <w:spacing w:before="0" w:after="0" w:line="640" w:lineRule="exact"/>
        <w:jc w:val="center"/>
        <w:rPr>
          <w:rFonts w:hint="eastAsia" w:ascii="方正小标宋简体" w:eastAsia="方正小标宋简体"/>
          <w:b w:val="0"/>
          <w:color w:val="000000"/>
          <w:sz w:val="41"/>
          <w:szCs w:val="41"/>
        </w:rPr>
      </w:pPr>
    </w:p>
    <w:p w14:paraId="04F07791">
      <w:pPr>
        <w:pStyle w:val="3"/>
        <w:keepNext/>
        <w:keepLines/>
        <w:pageBreakBefore w:val="0"/>
        <w:widowControl w:val="0"/>
        <w:kinsoku/>
        <w:wordWrap/>
        <w:overflowPunct/>
        <w:topLinePunct w:val="0"/>
        <w:autoSpaceDE/>
        <w:autoSpaceDN/>
        <w:bidi w:val="0"/>
        <w:adjustRightInd/>
        <w:snapToGrid/>
        <w:spacing w:before="0" w:after="0" w:line="660" w:lineRule="exact"/>
        <w:ind w:left="0" w:leftChars="0" w:right="0" w:rightChars="0" w:firstLine="0" w:firstLineChars="0"/>
        <w:jc w:val="center"/>
        <w:textAlignment w:val="auto"/>
        <w:outlineLvl w:val="0"/>
        <w:rPr>
          <w:rFonts w:hint="eastAsia" w:ascii="方正小标宋简体" w:eastAsia="方正小标宋简体"/>
          <w:b w:val="0"/>
          <w:color w:val="000000"/>
          <w:sz w:val="41"/>
          <w:szCs w:val="41"/>
          <w:lang w:eastAsia="zh-CN"/>
        </w:rPr>
      </w:pPr>
      <w:r>
        <w:rPr>
          <w:rFonts w:hint="eastAsia" w:ascii="方正小标宋简体" w:eastAsia="方正小标宋简体"/>
          <w:b w:val="0"/>
          <w:color w:val="000000"/>
          <w:sz w:val="41"/>
          <w:szCs w:val="41"/>
          <w:lang w:eastAsia="zh-CN"/>
        </w:rPr>
        <w:t>安溪县</w:t>
      </w:r>
      <w:r>
        <w:rPr>
          <w:rFonts w:hint="eastAsia" w:ascii="方正小标宋简体" w:eastAsia="方正小标宋简体"/>
          <w:b w:val="0"/>
          <w:color w:val="000000"/>
          <w:sz w:val="41"/>
          <w:szCs w:val="41"/>
        </w:rPr>
        <w:t>农业农村局</w:t>
      </w:r>
      <w:r>
        <w:rPr>
          <w:rFonts w:hint="eastAsia" w:ascii="方正小标宋简体" w:eastAsia="方正小标宋简体"/>
          <w:b w:val="0"/>
          <w:color w:val="000000"/>
          <w:sz w:val="41"/>
          <w:szCs w:val="41"/>
          <w:lang w:val="en-US" w:eastAsia="zh-CN"/>
        </w:rPr>
        <w:t xml:space="preserve"> </w:t>
      </w:r>
      <w:r>
        <w:rPr>
          <w:rFonts w:hint="eastAsia" w:ascii="方正小标宋简体" w:eastAsia="方正小标宋简体"/>
          <w:b w:val="0"/>
          <w:color w:val="000000"/>
          <w:sz w:val="41"/>
          <w:szCs w:val="41"/>
          <w:lang w:eastAsia="zh-CN"/>
        </w:rPr>
        <w:t>安溪县</w:t>
      </w:r>
      <w:r>
        <w:rPr>
          <w:rFonts w:hint="eastAsia" w:ascii="方正小标宋简体" w:eastAsia="方正小标宋简体"/>
          <w:b w:val="0"/>
          <w:color w:val="000000"/>
          <w:sz w:val="41"/>
          <w:szCs w:val="41"/>
        </w:rPr>
        <w:t>发展和改革</w:t>
      </w:r>
      <w:r>
        <w:rPr>
          <w:rFonts w:hint="eastAsia" w:ascii="方正小标宋简体" w:eastAsia="方正小标宋简体"/>
          <w:b w:val="0"/>
          <w:color w:val="000000"/>
          <w:sz w:val="41"/>
          <w:szCs w:val="41"/>
          <w:lang w:eastAsia="zh-CN"/>
        </w:rPr>
        <w:t>局</w:t>
      </w:r>
    </w:p>
    <w:p w14:paraId="231FA012">
      <w:pPr>
        <w:pStyle w:val="3"/>
        <w:keepNext/>
        <w:keepLines/>
        <w:pageBreakBefore w:val="0"/>
        <w:widowControl w:val="0"/>
        <w:kinsoku/>
        <w:wordWrap/>
        <w:overflowPunct/>
        <w:topLinePunct w:val="0"/>
        <w:autoSpaceDE/>
        <w:autoSpaceDN/>
        <w:bidi w:val="0"/>
        <w:adjustRightInd/>
        <w:snapToGrid/>
        <w:spacing w:before="0" w:after="0" w:line="660" w:lineRule="exact"/>
        <w:ind w:left="0" w:leftChars="0" w:right="0" w:rightChars="0" w:firstLine="0" w:firstLineChars="0"/>
        <w:jc w:val="center"/>
        <w:textAlignment w:val="auto"/>
        <w:outlineLvl w:val="0"/>
        <w:rPr>
          <w:rFonts w:hint="eastAsia" w:ascii="方正小标宋简体" w:eastAsia="方正小标宋简体"/>
          <w:b w:val="0"/>
          <w:color w:val="000000"/>
          <w:sz w:val="44"/>
          <w:szCs w:val="44"/>
        </w:rPr>
      </w:pPr>
      <w:r>
        <w:rPr>
          <w:rFonts w:hint="eastAsia" w:ascii="方正小标宋简体" w:eastAsia="方正小标宋简体"/>
          <w:b w:val="0"/>
          <w:color w:val="000000"/>
          <w:sz w:val="41"/>
          <w:szCs w:val="41"/>
          <w:lang w:eastAsia="zh-CN"/>
        </w:rPr>
        <w:t>安溪县</w:t>
      </w:r>
      <w:r>
        <w:rPr>
          <w:rFonts w:hint="eastAsia" w:ascii="方正小标宋简体" w:eastAsia="方正小标宋简体"/>
          <w:b w:val="0"/>
          <w:color w:val="000000"/>
          <w:sz w:val="41"/>
          <w:szCs w:val="41"/>
        </w:rPr>
        <w:t>财政局关于</w:t>
      </w:r>
      <w:r>
        <w:rPr>
          <w:rFonts w:hint="eastAsia" w:ascii="方正小标宋简体" w:eastAsia="方正小标宋简体"/>
          <w:b w:val="0"/>
          <w:color w:val="000000"/>
          <w:sz w:val="44"/>
          <w:szCs w:val="44"/>
        </w:rPr>
        <w:t>扶持粮</w:t>
      </w:r>
      <w:r>
        <w:rPr>
          <w:rFonts w:hint="eastAsia" w:ascii="方正小标宋简体" w:eastAsia="方正小标宋简体"/>
          <w:b w:val="0"/>
          <w:color w:val="000000"/>
          <w:sz w:val="44"/>
          <w:szCs w:val="44"/>
          <w:lang w:eastAsia="zh-CN"/>
        </w:rPr>
        <w:t>油</w:t>
      </w:r>
      <w:r>
        <w:rPr>
          <w:rFonts w:hint="eastAsia" w:ascii="方正小标宋简体" w:eastAsia="方正小标宋简体"/>
          <w:b w:val="0"/>
          <w:color w:val="000000"/>
          <w:sz w:val="44"/>
          <w:szCs w:val="44"/>
        </w:rPr>
        <w:t>生产</w:t>
      </w:r>
    </w:p>
    <w:p w14:paraId="5EFC4449">
      <w:pPr>
        <w:pStyle w:val="3"/>
        <w:keepNext/>
        <w:keepLines/>
        <w:pageBreakBefore w:val="0"/>
        <w:widowControl w:val="0"/>
        <w:kinsoku/>
        <w:wordWrap/>
        <w:overflowPunct/>
        <w:topLinePunct w:val="0"/>
        <w:autoSpaceDE/>
        <w:autoSpaceDN/>
        <w:bidi w:val="0"/>
        <w:adjustRightInd/>
        <w:snapToGrid/>
        <w:spacing w:before="0" w:after="0" w:line="660" w:lineRule="exact"/>
        <w:ind w:left="0" w:leftChars="0" w:right="0" w:rightChars="0" w:firstLine="0" w:firstLineChars="0"/>
        <w:jc w:val="center"/>
        <w:textAlignment w:val="auto"/>
        <w:outlineLvl w:val="0"/>
        <w:rPr>
          <w:rFonts w:hint="eastAsia" w:ascii="方正小标宋简体" w:eastAsia="方正小标宋简体"/>
          <w:b w:val="0"/>
          <w:color w:val="000000"/>
          <w:sz w:val="41"/>
          <w:szCs w:val="41"/>
          <w:lang w:eastAsia="zh-CN"/>
        </w:rPr>
      </w:pPr>
      <w:r>
        <w:rPr>
          <w:rFonts w:hint="eastAsia" w:ascii="方正小标宋简体" w:eastAsia="方正小标宋简体"/>
          <w:b w:val="0"/>
          <w:color w:val="000000"/>
          <w:sz w:val="44"/>
          <w:szCs w:val="44"/>
        </w:rPr>
        <w:t>若干措施的通知</w:t>
      </w:r>
    </w:p>
    <w:p w14:paraId="21D0495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rPr>
          <w:rFonts w:hint="eastAsia" w:ascii="仿宋" w:hAnsi="仿宋" w:eastAsia="仿宋" w:cs="仿宋"/>
          <w:color w:val="000000"/>
          <w:spacing w:val="6"/>
          <w:szCs w:val="32"/>
        </w:rPr>
      </w:pPr>
    </w:p>
    <w:p w14:paraId="03B1848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rPr>
          <w:rFonts w:hint="eastAsia" w:ascii="仿宋_GB2312" w:hAnsi="仿宋_GB2312" w:eastAsia="仿宋_GB2312" w:cs="仿宋_GB2312"/>
          <w:color w:val="000000"/>
          <w:szCs w:val="32"/>
        </w:rPr>
      </w:pPr>
      <w:r>
        <w:rPr>
          <w:rFonts w:hint="eastAsia" w:ascii="仿宋_GB2312" w:hAnsi="仿宋_GB2312" w:eastAsia="仿宋_GB2312" w:cs="仿宋_GB2312"/>
          <w:color w:val="000000"/>
          <w:spacing w:val="6"/>
          <w:szCs w:val="32"/>
        </w:rPr>
        <w:t>各</w:t>
      </w:r>
      <w:r>
        <w:rPr>
          <w:rFonts w:hint="eastAsia" w:ascii="仿宋_GB2312" w:hAnsi="仿宋_GB2312" w:eastAsia="仿宋_GB2312" w:cs="仿宋_GB2312"/>
          <w:color w:val="000000"/>
          <w:spacing w:val="6"/>
          <w:szCs w:val="32"/>
          <w:lang w:eastAsia="zh-CN"/>
        </w:rPr>
        <w:t>乡镇、县直有关单位</w:t>
      </w:r>
      <w:r>
        <w:rPr>
          <w:rFonts w:hint="eastAsia" w:ascii="仿宋_GB2312" w:hAnsi="仿宋_GB2312" w:eastAsia="仿宋_GB2312" w:cs="仿宋_GB2312"/>
          <w:color w:val="000000"/>
          <w:spacing w:val="6"/>
          <w:szCs w:val="32"/>
        </w:rPr>
        <w:t>：</w:t>
      </w:r>
    </w:p>
    <w:p w14:paraId="06419201">
      <w:pPr>
        <w:keepNext w:val="0"/>
        <w:keepLines w:val="0"/>
        <w:pageBreakBefore w:val="0"/>
        <w:widowControl w:val="0"/>
        <w:kinsoku/>
        <w:wordWrap/>
        <w:topLinePunct w:val="0"/>
        <w:autoSpaceDE/>
        <w:autoSpaceDN/>
        <w:bidi w:val="0"/>
        <w:adjustRightInd/>
        <w:snapToGrid w:val="0"/>
        <w:spacing w:line="520" w:lineRule="exact"/>
        <w:ind w:left="0" w:leftChars="0" w:right="0" w:rightChars="0" w:firstLine="640" w:firstLineChars="200"/>
        <w:textAlignment w:val="auto"/>
        <w:rPr>
          <w:rFonts w:ascii="仿宋_GB2312" w:cs="仿宋_GB2312"/>
          <w:szCs w:val="32"/>
        </w:rPr>
      </w:pPr>
      <w:r>
        <w:rPr>
          <w:rFonts w:hint="eastAsia" w:ascii="仿宋_GB2312" w:hAnsi="仿宋_GB2312" w:eastAsia="仿宋_GB2312" w:cs="仿宋_GB2312"/>
          <w:color w:val="000000"/>
          <w:szCs w:val="32"/>
        </w:rPr>
        <w:t>为贯彻落实县委、县政府关于耕地保护及粮食安全的决策部署，稳定粮油播种面积，提升粮油单产，提高粮油产能，促进粮食产业全链条发展，全方位夯实粮食安全根基</w:t>
      </w:r>
      <w:r>
        <w:rPr>
          <w:rFonts w:hint="eastAsia" w:ascii="仿宋_GB2312" w:hAnsi="仿宋_GB2312" w:cs="仿宋_GB2312"/>
          <w:color w:val="000000"/>
          <w:szCs w:val="32"/>
          <w:lang w:eastAsia="zh-CN"/>
        </w:rPr>
        <w:t>，</w:t>
      </w:r>
      <w:bookmarkStart w:id="0" w:name="_GoBack"/>
      <w:bookmarkEnd w:id="0"/>
      <w:r>
        <w:rPr>
          <w:rFonts w:hint="eastAsia" w:ascii="仿宋_GB2312" w:hAnsi="仿宋_GB2312" w:eastAsia="仿宋_GB2312" w:cs="仿宋_GB2312"/>
          <w:color w:val="000000"/>
          <w:szCs w:val="32"/>
        </w:rPr>
        <w:t>根据《泉州市农业农村局 泉州市发展和改革委员会 泉州市财政局关于扶持粮油生产若干措施的通知》（泉农综〔2025〕8号）和《泉州市农业农村局 泉州市财政局关于加强粮油生产及特色水果产业发展的通知》（泉农规〔2026〕1号）精神</w:t>
      </w:r>
      <w:r>
        <w:rPr>
          <w:rFonts w:hint="eastAsia" w:ascii="仿宋_GB2312" w:hAnsi="仿宋_GB2312" w:eastAsia="仿宋_GB2312" w:cs="仿宋_GB2312"/>
          <w:color w:val="000000"/>
          <w:szCs w:val="32"/>
          <w:lang w:eastAsia="zh-CN"/>
        </w:rPr>
        <w:t>，</w:t>
      </w:r>
      <w:r>
        <w:rPr>
          <w:rFonts w:hint="eastAsia" w:ascii="仿宋_GB2312" w:hAnsi="仿宋_GB2312" w:eastAsia="仿宋_GB2312" w:cs="仿宋_GB2312"/>
          <w:szCs w:val="32"/>
        </w:rPr>
        <w:t>经县政府第</w:t>
      </w:r>
      <w:r>
        <w:rPr>
          <w:rFonts w:hint="eastAsia" w:ascii="仿宋_GB2312" w:hAnsi="仿宋_GB2312" w:cs="仿宋_GB2312"/>
          <w:color w:val="auto"/>
          <w:szCs w:val="32"/>
          <w:lang w:val="en-US" w:eastAsia="zh-CN"/>
        </w:rPr>
        <w:t>80</w:t>
      </w:r>
      <w:r>
        <w:rPr>
          <w:rFonts w:hint="eastAsia" w:ascii="仿宋_GB2312" w:hAnsi="仿宋_GB2312" w:eastAsia="仿宋_GB2312" w:cs="仿宋_GB2312"/>
          <w:szCs w:val="32"/>
        </w:rPr>
        <w:t>次常务会议研究同意，按照“市有奖补，县有叠加”原则，</w:t>
      </w:r>
      <w:r>
        <w:rPr>
          <w:rFonts w:hint="eastAsia" w:ascii="仿宋_GB2312" w:hAnsi="仿宋_GB2312" w:eastAsia="仿宋_GB2312" w:cs="仿宋_GB2312"/>
          <w:spacing w:val="14"/>
          <w:sz w:val="32"/>
          <w:szCs w:val="32"/>
          <w:lang w:eastAsia="zh-CN"/>
        </w:rPr>
        <w:t>进一步完善</w:t>
      </w:r>
      <w:r>
        <w:rPr>
          <w:rFonts w:hint="eastAsia" w:ascii="仿宋_GB2312" w:hAnsi="仿宋_GB2312" w:eastAsia="仿宋_GB2312" w:cs="仿宋_GB2312"/>
          <w:spacing w:val="14"/>
          <w:sz w:val="32"/>
          <w:szCs w:val="32"/>
        </w:rPr>
        <w:t>我县扶持粮油生产强农惠农政策措施</w:t>
      </w:r>
      <w:r>
        <w:rPr>
          <w:rFonts w:hint="eastAsia" w:ascii="仿宋_GB2312" w:hAnsi="仿宋_GB2312" w:eastAsia="仿宋_GB2312" w:cs="仿宋_GB2312"/>
          <w:szCs w:val="32"/>
        </w:rPr>
        <w:t>。</w:t>
      </w:r>
    </w:p>
    <w:p w14:paraId="451EAAB8">
      <w:pPr>
        <w:keepNext w:val="0"/>
        <w:keepLines w:val="0"/>
        <w:pageBreakBefore w:val="0"/>
        <w:widowControl w:val="0"/>
        <w:kinsoku/>
        <w:wordWrap/>
        <w:overflowPunct/>
        <w:topLinePunct/>
        <w:autoSpaceDE/>
        <w:autoSpaceDN/>
        <w:bidi w:val="0"/>
        <w:adjustRightInd/>
        <w:snapToGrid w:val="0"/>
        <w:spacing w:line="520" w:lineRule="exact"/>
        <w:ind w:left="0" w:leftChars="0" w:right="0" w:rightChars="0" w:firstLine="640" w:firstLineChars="200"/>
        <w:jc w:val="left"/>
        <w:textAlignment w:val="auto"/>
        <w:rPr>
          <w:rFonts w:ascii="黑体" w:eastAsia="黑体"/>
          <w:color w:val="000000"/>
          <w:sz w:val="32"/>
          <w:szCs w:val="32"/>
        </w:rPr>
      </w:pPr>
      <w:r>
        <w:rPr>
          <w:rFonts w:hint="eastAsia" w:ascii="黑体" w:eastAsia="黑体"/>
          <w:color w:val="000000"/>
          <w:sz w:val="32"/>
          <w:szCs w:val="32"/>
        </w:rPr>
        <w:t>一、保障措施</w:t>
      </w:r>
    </w:p>
    <w:p w14:paraId="5DBB5F40">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val="en-US" w:eastAsia="zh-CN"/>
        </w:rPr>
      </w:pPr>
      <w:r>
        <w:rPr>
          <w:rFonts w:hint="eastAsia" w:ascii="楷体_GB2312" w:hAnsi="楷体_GB2312" w:eastAsia="楷体_GB2312" w:cs="楷体_GB2312"/>
          <w:b/>
          <w:snapToGrid/>
          <w:color w:val="000000"/>
          <w:spacing w:val="0"/>
          <w:kern w:val="2"/>
          <w:sz w:val="32"/>
          <w:szCs w:val="32"/>
          <w:lang w:val="en-US" w:eastAsia="zh-CN"/>
        </w:rPr>
        <w:t>（一）</w:t>
      </w:r>
      <w:r>
        <w:rPr>
          <w:rFonts w:hint="eastAsia" w:ascii="楷体_GB2312" w:hAnsi="楷体_GB2312" w:eastAsia="楷体_GB2312" w:cs="楷体_GB2312"/>
          <w:b/>
          <w:snapToGrid/>
          <w:color w:val="000000"/>
          <w:spacing w:val="0"/>
          <w:kern w:val="2"/>
          <w:sz w:val="32"/>
          <w:szCs w:val="32"/>
          <w:lang w:eastAsia="zh-CN"/>
        </w:rPr>
        <w:t>完善考核奖惩机制。</w:t>
      </w:r>
      <w:r>
        <w:rPr>
          <w:rFonts w:hint="eastAsia" w:ascii="仿宋_GB2312" w:hAnsi="仿宋_GB2312" w:eastAsia="仿宋_GB2312" w:cs="仿宋_GB2312"/>
          <w:snapToGrid/>
          <w:color w:val="000000"/>
          <w:spacing w:val="0"/>
          <w:kern w:val="2"/>
          <w:sz w:val="32"/>
          <w:szCs w:val="32"/>
          <w:lang w:eastAsia="zh-CN"/>
        </w:rPr>
        <w:t>按照每年不少于3个县级粮食生产示范乡镇、10个县级粮食生产示范村进行创建，分别给予奖励3万元、2万元。对未完成粮食生产约束性任务的乡镇不得评定为耕地保护和粮食安全工作表现优异单位。</w:t>
      </w:r>
    </w:p>
    <w:p w14:paraId="12B223D3">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（二）扶持粮食生产重点区域。</w:t>
      </w:r>
      <w:r>
        <w:rPr>
          <w:rFonts w:hint="eastAsia" w:ascii="仿宋_GB2312" w:hAnsi="仿宋_GB2312" w:eastAsia="仿宋_GB2312" w:cs="仿宋_GB2312"/>
          <w:snapToGrid/>
          <w:color w:val="000000"/>
          <w:spacing w:val="0"/>
          <w:kern w:val="2"/>
          <w:sz w:val="32"/>
          <w:szCs w:val="32"/>
          <w:lang w:val="en-US" w:eastAsia="zh-CN"/>
        </w:rPr>
        <w:t>优先推荐参与县级粮油生产示范村创建工作。</w:t>
      </w:r>
    </w:p>
    <w:p w14:paraId="73E362D4">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（三）推进撂荒地统筹利用。</w:t>
      </w:r>
      <w:r>
        <w:rPr>
          <w:rFonts w:hint="eastAsia" w:ascii="仿宋_GB2312" w:hAnsi="仿宋_GB2312" w:eastAsia="仿宋_GB2312" w:cs="仿宋_GB2312"/>
          <w:snapToGrid/>
          <w:color w:val="000000"/>
          <w:spacing w:val="0"/>
          <w:kern w:val="2"/>
          <w:sz w:val="32"/>
          <w:szCs w:val="32"/>
          <w:lang w:eastAsia="zh-CN"/>
        </w:rPr>
        <w:t>对连片或集中整治抛（撂）荒山垅田规模10亩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w:t>
      </w:r>
      <w:r>
        <w:rPr>
          <w:rFonts w:hint="eastAsia" w:ascii="仿宋_GB2312" w:hAnsi="仿宋_GB2312" w:cs="仿宋_GB2312"/>
          <w:color w:val="000000"/>
          <w:spacing w:val="0"/>
          <w:kern w:val="2"/>
          <w:sz w:val="32"/>
          <w:szCs w:val="32"/>
          <w:lang w:val="en-US" w:eastAsia="zh-CN" w:bidi="ar-SA"/>
        </w:rPr>
        <w:t>连续三年</w:t>
      </w:r>
      <w:r>
        <w:rPr>
          <w:rFonts w:hint="eastAsia" w:ascii="仿宋_GB2312" w:hAnsi="仿宋_GB2312" w:eastAsia="仿宋_GB2312" w:cs="仿宋_GB2312"/>
          <w:snapToGrid/>
          <w:color w:val="000000"/>
          <w:spacing w:val="0"/>
          <w:kern w:val="2"/>
          <w:sz w:val="32"/>
          <w:szCs w:val="32"/>
          <w:lang w:eastAsia="zh-CN"/>
        </w:rPr>
        <w:t>每年种植一季以上粮食作物的种粮大户、家庭农场、农民合作社、农业企业，第一年按</w:t>
      </w:r>
      <w:r>
        <w:rPr>
          <w:rFonts w:hint="eastAsia" w:ascii="仿宋_GB2312" w:hAnsi="仿宋_GB2312" w:eastAsia="仿宋_GB2312" w:cs="仿宋_GB2312"/>
          <w:snapToGrid/>
          <w:color w:val="000000"/>
          <w:spacing w:val="6"/>
          <w:kern w:val="2"/>
          <w:sz w:val="32"/>
          <w:szCs w:val="32"/>
          <w:lang w:eastAsia="zh-CN"/>
        </w:rPr>
        <w:t>复耕面积每亩</w:t>
      </w:r>
      <w:r>
        <w:rPr>
          <w:rFonts w:hint="eastAsia" w:ascii="仿宋_GB2312" w:hAnsi="仿宋_GB2312" w:eastAsia="仿宋_GB2312" w:cs="仿宋_GB2312"/>
          <w:color w:val="000000"/>
          <w:spacing w:val="0"/>
          <w:kern w:val="2"/>
          <w:sz w:val="32"/>
          <w:szCs w:val="32"/>
          <w:lang w:val="en-US" w:eastAsia="zh-CN" w:bidi="ar-SA"/>
        </w:rPr>
        <w:t>给予</w:t>
      </w:r>
      <w:r>
        <w:rPr>
          <w:rFonts w:hint="eastAsia" w:ascii="仿宋_GB2312" w:hAnsi="仿宋_GB2312" w:eastAsia="仿宋_GB2312" w:cs="仿宋_GB2312"/>
          <w:snapToGrid/>
          <w:color w:val="000000"/>
          <w:spacing w:val="6"/>
          <w:kern w:val="2"/>
          <w:sz w:val="32"/>
          <w:szCs w:val="32"/>
          <w:lang w:eastAsia="zh-CN"/>
        </w:rPr>
        <w:t>补助</w:t>
      </w:r>
      <w:r>
        <w:rPr>
          <w:rFonts w:hint="eastAsia" w:ascii="仿宋_GB2312" w:hAnsi="仿宋_GB2312" w:cs="仿宋_GB2312"/>
          <w:snapToGrid/>
          <w:color w:val="000000"/>
          <w:spacing w:val="0"/>
          <w:kern w:val="2"/>
          <w:sz w:val="32"/>
          <w:szCs w:val="32"/>
          <w:lang w:val="en-US" w:eastAsia="zh-CN"/>
        </w:rPr>
        <w:t>300</w:t>
      </w:r>
      <w:r>
        <w:rPr>
          <w:rFonts w:hint="eastAsia" w:ascii="仿宋_GB2312" w:hAnsi="仿宋_GB2312" w:eastAsia="仿宋_GB2312" w:cs="仿宋_GB2312"/>
          <w:snapToGrid/>
          <w:color w:val="000000"/>
          <w:spacing w:val="6"/>
          <w:kern w:val="2"/>
          <w:sz w:val="32"/>
          <w:szCs w:val="32"/>
          <w:lang w:eastAsia="zh-CN"/>
        </w:rPr>
        <w:t>元，第二年、第三年每年每亩</w:t>
      </w:r>
      <w:r>
        <w:rPr>
          <w:rFonts w:hint="eastAsia" w:ascii="仿宋_GB2312" w:hAnsi="仿宋_GB2312" w:eastAsia="仿宋_GB2312" w:cs="仿宋_GB2312"/>
          <w:color w:val="000000"/>
          <w:spacing w:val="0"/>
          <w:kern w:val="2"/>
          <w:sz w:val="32"/>
          <w:szCs w:val="32"/>
          <w:lang w:val="en-US" w:eastAsia="zh-CN" w:bidi="ar-SA"/>
        </w:rPr>
        <w:t>给予</w:t>
      </w:r>
      <w:r>
        <w:rPr>
          <w:rFonts w:hint="eastAsia" w:ascii="仿宋_GB2312" w:hAnsi="仿宋_GB2312" w:eastAsia="仿宋_GB2312" w:cs="仿宋_GB2312"/>
          <w:snapToGrid/>
          <w:color w:val="000000"/>
          <w:spacing w:val="6"/>
          <w:kern w:val="2"/>
          <w:sz w:val="32"/>
          <w:szCs w:val="32"/>
          <w:lang w:eastAsia="zh-CN"/>
        </w:rPr>
        <w:t>补</w:t>
      </w:r>
      <w:r>
        <w:rPr>
          <w:rFonts w:hint="eastAsia" w:ascii="仿宋_GB2312" w:hAnsi="仿宋_GB2312" w:eastAsia="仿宋_GB2312" w:cs="仿宋_GB2312"/>
          <w:snapToGrid/>
          <w:color w:val="000000"/>
          <w:spacing w:val="-40"/>
          <w:kern w:val="2"/>
          <w:sz w:val="32"/>
          <w:szCs w:val="32"/>
          <w:lang w:eastAsia="zh-CN"/>
        </w:rPr>
        <w:t>助</w:t>
      </w:r>
      <w:r>
        <w:rPr>
          <w:rFonts w:hint="eastAsia" w:ascii="仿宋_GB2312" w:hAnsi="仿宋_GB2312" w:cs="仿宋_GB2312"/>
          <w:snapToGrid/>
          <w:color w:val="000000"/>
          <w:spacing w:val="0"/>
          <w:kern w:val="2"/>
          <w:sz w:val="32"/>
          <w:szCs w:val="32"/>
          <w:lang w:val="en-US" w:eastAsia="zh-CN"/>
        </w:rPr>
        <w:t>200</w:t>
      </w:r>
      <w:r>
        <w:rPr>
          <w:rFonts w:hint="eastAsia" w:ascii="仿宋_GB2312" w:hAnsi="仿宋_GB2312" w:eastAsia="仿宋_GB2312" w:cs="仿宋_GB2312"/>
          <w:snapToGrid/>
          <w:color w:val="000000"/>
          <w:spacing w:val="0"/>
          <w:kern w:val="2"/>
          <w:sz w:val="32"/>
          <w:szCs w:val="32"/>
          <w:lang w:eastAsia="zh-CN"/>
        </w:rPr>
        <w:t>元。</w:t>
      </w:r>
    </w:p>
    <w:p w14:paraId="3CEF01DD">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b w:val="0"/>
          <w:bCs w:val="0"/>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（四）鼓励规模种植大豆。</w:t>
      </w:r>
      <w:r>
        <w:rPr>
          <w:rFonts w:hint="eastAsia" w:ascii="仿宋_GB2312" w:hAnsi="仿宋_GB2312" w:eastAsia="仿宋_GB2312" w:cs="仿宋_GB2312"/>
          <w:snapToGrid/>
          <w:color w:val="000000"/>
          <w:spacing w:val="0"/>
          <w:kern w:val="2"/>
          <w:sz w:val="32"/>
          <w:szCs w:val="32"/>
          <w:lang w:eastAsia="zh-CN"/>
        </w:rPr>
        <w:t>对规模种植大豆20亩及以上的种粮大户、家庭农场、农民合作社、农业企业，符合高产高质高效创建要求的，每亩给予补助</w:t>
      </w:r>
      <w:r>
        <w:rPr>
          <w:rFonts w:hint="eastAsia" w:ascii="仿宋_GB2312" w:hAnsi="仿宋_GB2312" w:cs="仿宋_GB2312"/>
          <w:b w:val="0"/>
          <w:bCs w:val="0"/>
          <w:snapToGrid/>
          <w:color w:val="000000"/>
          <w:spacing w:val="0"/>
          <w:kern w:val="2"/>
          <w:sz w:val="32"/>
          <w:szCs w:val="32"/>
          <w:lang w:val="en-US" w:eastAsia="zh-CN"/>
        </w:rPr>
        <w:t>200</w:t>
      </w:r>
      <w:r>
        <w:rPr>
          <w:rFonts w:hint="eastAsia" w:ascii="仿宋_GB2312" w:hAnsi="仿宋_GB2312" w:eastAsia="仿宋_GB2312" w:cs="仿宋_GB2312"/>
          <w:b w:val="0"/>
          <w:bCs w:val="0"/>
          <w:snapToGrid/>
          <w:color w:val="000000"/>
          <w:spacing w:val="0"/>
          <w:kern w:val="2"/>
          <w:sz w:val="32"/>
          <w:szCs w:val="32"/>
          <w:lang w:eastAsia="zh-CN"/>
        </w:rPr>
        <w:t>元</w:t>
      </w:r>
      <w:r>
        <w:rPr>
          <w:rFonts w:hint="eastAsia" w:ascii="仿宋_GB2312" w:hAnsi="仿宋_GB2312" w:eastAsia="仿宋_GB2312" w:cs="仿宋_GB2312"/>
          <w:snapToGrid/>
          <w:color w:val="000000"/>
          <w:spacing w:val="0"/>
          <w:kern w:val="2"/>
          <w:sz w:val="32"/>
          <w:szCs w:val="32"/>
          <w:lang w:eastAsia="zh-CN"/>
        </w:rPr>
        <w:t>。</w:t>
      </w:r>
    </w:p>
    <w:p w14:paraId="31C47D02">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（五）鼓励规模种植马铃薯。</w:t>
      </w:r>
      <w:r>
        <w:rPr>
          <w:rFonts w:hint="eastAsia" w:ascii="仿宋_GB2312" w:hAnsi="仿宋_GB2312" w:eastAsia="仿宋_GB2312" w:cs="仿宋_GB2312"/>
          <w:snapToGrid/>
          <w:color w:val="000000"/>
          <w:spacing w:val="0"/>
          <w:kern w:val="2"/>
          <w:sz w:val="32"/>
          <w:szCs w:val="32"/>
          <w:lang w:eastAsia="zh-CN"/>
        </w:rPr>
        <w:t>对连片种植马铃薯20亩及以上的种粮大户、家庭农场、农民合作社、农业企业，符合高产高质高</w:t>
      </w:r>
      <w:r>
        <w:rPr>
          <w:rFonts w:hint="eastAsia" w:ascii="仿宋_GB2312" w:hAnsi="仿宋_GB2312" w:eastAsia="仿宋_GB2312" w:cs="仿宋_GB2312"/>
          <w:b w:val="0"/>
          <w:bCs w:val="0"/>
          <w:snapToGrid/>
          <w:color w:val="000000"/>
          <w:spacing w:val="0"/>
          <w:kern w:val="2"/>
          <w:sz w:val="32"/>
          <w:szCs w:val="32"/>
          <w:lang w:eastAsia="zh-CN"/>
        </w:rPr>
        <w:t>效创建要求的，每亩给予补助</w:t>
      </w:r>
      <w:r>
        <w:rPr>
          <w:rFonts w:hint="eastAsia" w:ascii="仿宋_GB2312" w:hAnsi="仿宋_GB2312" w:cs="仿宋_GB2312"/>
          <w:b w:val="0"/>
          <w:bCs w:val="0"/>
          <w:snapToGrid/>
          <w:color w:val="000000"/>
          <w:spacing w:val="0"/>
          <w:kern w:val="2"/>
          <w:sz w:val="32"/>
          <w:szCs w:val="32"/>
          <w:lang w:val="en-US" w:eastAsia="zh-CN"/>
        </w:rPr>
        <w:t>200</w:t>
      </w:r>
      <w:r>
        <w:rPr>
          <w:rFonts w:hint="eastAsia" w:ascii="仿宋_GB2312" w:hAnsi="仿宋_GB2312" w:eastAsia="仿宋_GB2312" w:cs="仿宋_GB2312"/>
          <w:b w:val="0"/>
          <w:bCs w:val="0"/>
          <w:snapToGrid/>
          <w:color w:val="000000"/>
          <w:spacing w:val="0"/>
          <w:kern w:val="2"/>
          <w:sz w:val="32"/>
          <w:szCs w:val="32"/>
          <w:lang w:eastAsia="zh-CN"/>
        </w:rPr>
        <w:t>元。</w:t>
      </w:r>
    </w:p>
    <w:p w14:paraId="291E3C1E">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auto"/>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（六）鼓励规模种植旱稻。</w:t>
      </w:r>
      <w:r>
        <w:rPr>
          <w:rFonts w:hint="eastAsia" w:ascii="仿宋_GB2312" w:hAnsi="仿宋_GB2312" w:eastAsia="仿宋_GB2312" w:cs="仿宋_GB2312"/>
          <w:b w:val="0"/>
          <w:bCs/>
          <w:snapToGrid/>
          <w:color w:val="000000"/>
          <w:spacing w:val="0"/>
          <w:kern w:val="2"/>
          <w:sz w:val="32"/>
          <w:szCs w:val="32"/>
          <w:lang w:eastAsia="zh-CN"/>
        </w:rPr>
        <w:t>对规模种植旱稻20亩及以上的种粮大户、家庭农场、农民合作社、农业企业，符合高产高质高效创建要求的，每亩给予补助</w:t>
      </w:r>
      <w:r>
        <w:rPr>
          <w:rFonts w:hint="eastAsia" w:ascii="仿宋_GB2312" w:hAnsi="仿宋_GB2312" w:eastAsia="仿宋_GB2312" w:cs="仿宋_GB2312"/>
          <w:b w:val="0"/>
          <w:bCs/>
          <w:snapToGrid/>
          <w:color w:val="000000"/>
          <w:spacing w:val="0"/>
          <w:kern w:val="2"/>
          <w:sz w:val="32"/>
          <w:szCs w:val="32"/>
          <w:lang w:val="en-US" w:eastAsia="zh-CN"/>
        </w:rPr>
        <w:t>20</w:t>
      </w:r>
      <w:r>
        <w:rPr>
          <w:rFonts w:hint="eastAsia" w:ascii="仿宋_GB2312" w:hAnsi="仿宋_GB2312" w:eastAsia="仿宋_GB2312" w:cs="仿宋_GB2312"/>
          <w:b w:val="0"/>
          <w:bCs/>
          <w:snapToGrid/>
          <w:color w:val="000000"/>
          <w:spacing w:val="0"/>
          <w:kern w:val="2"/>
          <w:sz w:val="32"/>
          <w:szCs w:val="32"/>
          <w:lang w:eastAsia="zh-CN"/>
        </w:rPr>
        <w:t>0</w:t>
      </w:r>
      <w:r>
        <w:rPr>
          <w:rFonts w:hint="eastAsia" w:ascii="仿宋_GB2312" w:hAnsi="仿宋_GB2312" w:eastAsia="仿宋_GB2312" w:cs="仿宋_GB2312"/>
          <w:b w:val="0"/>
          <w:bCs w:val="0"/>
          <w:snapToGrid/>
          <w:color w:val="000000"/>
          <w:spacing w:val="0"/>
          <w:kern w:val="2"/>
          <w:sz w:val="32"/>
          <w:szCs w:val="32"/>
          <w:lang w:eastAsia="zh-CN"/>
        </w:rPr>
        <w:t>元。</w:t>
      </w:r>
    </w:p>
    <w:p w14:paraId="287A8E0C">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（七）鼓励规模种植水稻。</w:t>
      </w:r>
      <w:r>
        <w:rPr>
          <w:rFonts w:hint="eastAsia" w:ascii="仿宋_GB2312" w:hAnsi="仿宋_GB2312" w:eastAsia="仿宋_GB2312" w:cs="仿宋_GB2312"/>
          <w:snapToGrid/>
          <w:color w:val="000000"/>
          <w:spacing w:val="0"/>
          <w:kern w:val="2"/>
          <w:sz w:val="32"/>
          <w:szCs w:val="32"/>
          <w:lang w:eastAsia="zh-CN"/>
        </w:rPr>
        <w:t>对当年度种植水稻（不包括旱稻）集中连片50亩及以上的种粮大户、家庭农场、农民合作社、农业企业，每亩</w:t>
      </w:r>
      <w:r>
        <w:rPr>
          <w:rFonts w:hint="eastAsia" w:ascii="仿宋_GB2312" w:hAnsi="仿宋_GB2312" w:eastAsia="仿宋_GB2312" w:cs="仿宋_GB2312"/>
          <w:color w:val="000000"/>
          <w:spacing w:val="0"/>
          <w:kern w:val="2"/>
          <w:sz w:val="32"/>
          <w:szCs w:val="32"/>
          <w:lang w:val="en-US" w:eastAsia="zh-CN" w:bidi="ar-SA"/>
        </w:rPr>
        <w:t>给予</w:t>
      </w:r>
      <w:r>
        <w:rPr>
          <w:rFonts w:hint="eastAsia" w:ascii="仿宋_GB2312" w:hAnsi="仿宋_GB2312" w:eastAsia="仿宋_GB2312" w:cs="仿宋_GB2312"/>
          <w:snapToGrid/>
          <w:color w:val="000000"/>
          <w:spacing w:val="0"/>
          <w:kern w:val="2"/>
          <w:sz w:val="32"/>
          <w:szCs w:val="32"/>
          <w:lang w:eastAsia="zh-CN"/>
        </w:rPr>
        <w:t>补助300元。</w:t>
      </w:r>
    </w:p>
    <w:p w14:paraId="5881744F">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（八）鼓励规模种植油菜。</w:t>
      </w:r>
      <w:r>
        <w:rPr>
          <w:rFonts w:hint="eastAsia" w:ascii="仿宋_GB2312" w:hAnsi="仿宋_GB2312" w:eastAsia="仿宋_GB2312" w:cs="仿宋_GB2312"/>
          <w:snapToGrid/>
          <w:color w:val="000000"/>
          <w:spacing w:val="0"/>
          <w:kern w:val="2"/>
          <w:sz w:val="32"/>
          <w:szCs w:val="32"/>
          <w:lang w:eastAsia="zh-CN"/>
        </w:rPr>
        <w:t>对当年度种植油菜集中连片</w:t>
      </w:r>
      <w:r>
        <w:rPr>
          <w:rFonts w:hint="eastAsia" w:ascii="仿宋_GB2312" w:hAnsi="仿宋_GB2312" w:eastAsia="仿宋_GB2312" w:cs="仿宋_GB2312"/>
          <w:snapToGrid/>
          <w:color w:val="000000"/>
          <w:spacing w:val="0"/>
          <w:kern w:val="2"/>
          <w:sz w:val="32"/>
          <w:szCs w:val="32"/>
          <w:lang w:val="en-US" w:eastAsia="zh-CN"/>
        </w:rPr>
        <w:t>1</w:t>
      </w:r>
      <w:r>
        <w:rPr>
          <w:rFonts w:hint="eastAsia" w:ascii="仿宋_GB2312" w:hAnsi="仿宋_GB2312" w:eastAsia="仿宋_GB2312" w:cs="仿宋_GB2312"/>
          <w:snapToGrid/>
          <w:color w:val="000000"/>
          <w:spacing w:val="0"/>
          <w:kern w:val="2"/>
          <w:sz w:val="32"/>
          <w:szCs w:val="32"/>
          <w:lang w:eastAsia="zh-CN"/>
        </w:rPr>
        <w:t>0亩及以上的种粮大户、家庭农场、农民合作社、农业企业，每亩</w:t>
      </w:r>
      <w:r>
        <w:rPr>
          <w:rFonts w:hint="eastAsia" w:ascii="仿宋_GB2312" w:hAnsi="仿宋_GB2312" w:eastAsia="仿宋_GB2312" w:cs="仿宋_GB2312"/>
          <w:color w:val="000000"/>
          <w:spacing w:val="0"/>
          <w:kern w:val="2"/>
          <w:sz w:val="32"/>
          <w:szCs w:val="32"/>
          <w:lang w:val="en-US" w:eastAsia="zh-CN" w:bidi="ar-SA"/>
        </w:rPr>
        <w:t>给予</w:t>
      </w:r>
      <w:r>
        <w:rPr>
          <w:rFonts w:hint="eastAsia" w:ascii="仿宋_GB2312" w:hAnsi="仿宋_GB2312" w:eastAsia="仿宋_GB2312" w:cs="仿宋_GB2312"/>
          <w:snapToGrid/>
          <w:color w:val="000000"/>
          <w:spacing w:val="0"/>
          <w:kern w:val="2"/>
          <w:sz w:val="32"/>
          <w:szCs w:val="32"/>
          <w:lang w:eastAsia="zh-CN"/>
        </w:rPr>
        <w:t>补助300元。</w:t>
      </w:r>
    </w:p>
    <w:p w14:paraId="60F17864">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（九）鼓励发展茶粮套种。</w:t>
      </w:r>
      <w:r>
        <w:rPr>
          <w:rFonts w:hint="eastAsia" w:ascii="仿宋_GB2312" w:hAnsi="仿宋_GB2312" w:eastAsia="仿宋_GB2312" w:cs="仿宋_GB2312"/>
          <w:snapToGrid/>
          <w:color w:val="000000"/>
          <w:spacing w:val="0"/>
          <w:kern w:val="2"/>
          <w:sz w:val="32"/>
          <w:szCs w:val="32"/>
          <w:lang w:eastAsia="zh-CN"/>
        </w:rPr>
        <w:t>对茶园套种粮油作物连片50亩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且单产达到规定要求，其中套种大豆的单产达到50公斤（鲜重，下同），套种玉米的单产达到100公斤，套种甘薯或者马铃薯的单产达到100公斤，套种花生的单产达到100公斤，套种油菜的单产达到50公斤的种粮大户、家庭农场、农民合作社、农业企业，按照实际种植面积每亩</w:t>
      </w:r>
      <w:r>
        <w:rPr>
          <w:rFonts w:hint="eastAsia" w:ascii="仿宋_GB2312" w:hAnsi="仿宋_GB2312" w:eastAsia="仿宋_GB2312" w:cs="仿宋_GB2312"/>
          <w:color w:val="000000"/>
          <w:spacing w:val="0"/>
          <w:kern w:val="2"/>
          <w:sz w:val="32"/>
          <w:szCs w:val="32"/>
          <w:lang w:val="en-US" w:eastAsia="zh-CN" w:bidi="ar-SA"/>
        </w:rPr>
        <w:t>给予</w:t>
      </w:r>
      <w:r>
        <w:rPr>
          <w:rFonts w:hint="eastAsia" w:ascii="仿宋_GB2312" w:hAnsi="仿宋_GB2312" w:eastAsia="仿宋_GB2312" w:cs="仿宋_GB2312"/>
          <w:snapToGrid/>
          <w:color w:val="000000"/>
          <w:spacing w:val="0"/>
          <w:kern w:val="2"/>
          <w:sz w:val="32"/>
          <w:szCs w:val="32"/>
          <w:lang w:eastAsia="zh-CN"/>
        </w:rPr>
        <w:t>补助300元。</w:t>
      </w:r>
    </w:p>
    <w:p w14:paraId="61CEC781">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（十）培育农机化新型经营主体。</w:t>
      </w:r>
      <w:r>
        <w:rPr>
          <w:rFonts w:hint="eastAsia" w:ascii="仿宋_GB2312" w:hAnsi="仿宋_GB2312" w:eastAsia="仿宋_GB2312" w:cs="仿宋_GB2312"/>
          <w:snapToGrid/>
          <w:color w:val="000000"/>
          <w:spacing w:val="0"/>
          <w:kern w:val="2"/>
          <w:sz w:val="32"/>
          <w:szCs w:val="32"/>
          <w:lang w:eastAsia="zh-CN"/>
        </w:rPr>
        <w:t>支持</w:t>
      </w:r>
      <w:r>
        <w:rPr>
          <w:rFonts w:hint="eastAsia" w:ascii="仿宋_GB2312" w:hAnsi="仿宋_GB2312" w:eastAsia="仿宋_GB2312" w:cs="仿宋_GB2312"/>
          <w:snapToGrid/>
          <w:color w:val="000000"/>
          <w:spacing w:val="0"/>
          <w:kern w:val="2"/>
          <w:sz w:val="32"/>
          <w:szCs w:val="32"/>
          <w:lang w:val="en-US" w:eastAsia="zh-CN"/>
        </w:rPr>
        <w:t>组建从事粮食生产和作业服务的农机专业合作社，对具备一定规模（有固定的经营场所和机具停放场地、社员5户</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val="en-US" w:eastAsia="zh-CN"/>
        </w:rPr>
        <w:t>以上、新购置机具设备原值30万元</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val="en-US" w:eastAsia="zh-CN"/>
        </w:rPr>
        <w:t>以上、土地经营规模200亩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val="en-US" w:eastAsia="zh-CN"/>
        </w:rPr>
        <w:t>以上）的给予补助10万元。</w:t>
      </w:r>
    </w:p>
    <w:p w14:paraId="53450D99">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（十一）建设粮食作物全程机械化生产基地。</w:t>
      </w:r>
      <w:r>
        <w:rPr>
          <w:rFonts w:hint="eastAsia" w:ascii="仿宋_GB2312" w:hAnsi="仿宋_GB2312" w:eastAsia="仿宋_GB2312" w:cs="仿宋_GB2312"/>
          <w:snapToGrid/>
          <w:color w:val="000000"/>
          <w:spacing w:val="0"/>
          <w:kern w:val="2"/>
          <w:sz w:val="32"/>
          <w:szCs w:val="32"/>
          <w:lang w:eastAsia="zh-CN"/>
        </w:rPr>
        <w:t>对建设全程机械化生产基地水稻500亩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以上或甘薯、马铃薯100亩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以上的，可申报主要农作物全程机械化生产基地项目，按新增投入</w:t>
      </w:r>
      <w:r>
        <w:rPr>
          <w:rFonts w:hint="eastAsia" w:ascii="仿宋_GB2312" w:hAnsi="仿宋_GB2312" w:eastAsia="仿宋_GB2312" w:cs="仿宋_GB2312"/>
          <w:snapToGrid/>
          <w:color w:val="000000"/>
          <w:spacing w:val="0"/>
          <w:kern w:val="2"/>
          <w:sz w:val="32"/>
          <w:szCs w:val="32"/>
          <w:lang w:val="en-US" w:eastAsia="zh-CN"/>
        </w:rPr>
        <w:t>1</w:t>
      </w:r>
      <w:r>
        <w:rPr>
          <w:rFonts w:hint="eastAsia" w:ascii="仿宋_GB2312" w:hAnsi="仿宋_GB2312" w:eastAsia="仿宋_GB2312" w:cs="仿宋_GB2312"/>
          <w:snapToGrid/>
          <w:color w:val="000000"/>
          <w:spacing w:val="0"/>
          <w:kern w:val="2"/>
          <w:sz w:val="32"/>
          <w:szCs w:val="32"/>
          <w:lang w:eastAsia="zh-CN"/>
        </w:rPr>
        <w:t>0%的比例进行补助，单个项目最高补助</w:t>
      </w:r>
      <w:r>
        <w:rPr>
          <w:rFonts w:hint="eastAsia" w:ascii="仿宋_GB2312" w:hAnsi="仿宋_GB2312" w:eastAsia="仿宋_GB2312" w:cs="仿宋_GB2312"/>
          <w:snapToGrid/>
          <w:color w:val="000000"/>
          <w:spacing w:val="0"/>
          <w:kern w:val="2"/>
          <w:sz w:val="32"/>
          <w:szCs w:val="32"/>
          <w:lang w:val="en-US" w:eastAsia="zh-CN"/>
        </w:rPr>
        <w:t>2</w:t>
      </w:r>
      <w:r>
        <w:rPr>
          <w:rFonts w:hint="eastAsia" w:ascii="仿宋_GB2312" w:hAnsi="仿宋_GB2312" w:eastAsia="仿宋_GB2312" w:cs="仿宋_GB2312"/>
          <w:snapToGrid/>
          <w:color w:val="000000"/>
          <w:spacing w:val="0"/>
          <w:kern w:val="2"/>
          <w:sz w:val="32"/>
          <w:szCs w:val="32"/>
          <w:lang w:eastAsia="zh-CN"/>
        </w:rPr>
        <w:t>万元。对建设全程机械化生产基地水稻3000亩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以上或甘薯、马铃薯1000亩</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eastAsia="zh-CN"/>
        </w:rPr>
        <w:t>以上的，按新增投入</w:t>
      </w:r>
      <w:r>
        <w:rPr>
          <w:rFonts w:hint="eastAsia" w:ascii="仿宋_GB2312" w:hAnsi="仿宋_GB2312" w:eastAsia="仿宋_GB2312" w:cs="仿宋_GB2312"/>
          <w:snapToGrid/>
          <w:color w:val="000000"/>
          <w:spacing w:val="0"/>
          <w:kern w:val="2"/>
          <w:sz w:val="32"/>
          <w:szCs w:val="32"/>
          <w:lang w:val="en-US" w:eastAsia="zh-CN"/>
        </w:rPr>
        <w:t>1</w:t>
      </w:r>
      <w:r>
        <w:rPr>
          <w:rFonts w:hint="eastAsia" w:ascii="仿宋_GB2312" w:hAnsi="仿宋_GB2312" w:eastAsia="仿宋_GB2312" w:cs="仿宋_GB2312"/>
          <w:snapToGrid/>
          <w:color w:val="000000"/>
          <w:spacing w:val="0"/>
          <w:kern w:val="2"/>
          <w:sz w:val="32"/>
          <w:szCs w:val="32"/>
          <w:lang w:eastAsia="zh-CN"/>
        </w:rPr>
        <w:t>0%的比例进行补助，单个项目最高补助</w:t>
      </w:r>
      <w:r>
        <w:rPr>
          <w:rFonts w:hint="eastAsia" w:ascii="仿宋_GB2312" w:hAnsi="仿宋_GB2312" w:eastAsia="仿宋_GB2312" w:cs="仿宋_GB2312"/>
          <w:snapToGrid/>
          <w:color w:val="000000"/>
          <w:spacing w:val="0"/>
          <w:kern w:val="2"/>
          <w:sz w:val="32"/>
          <w:szCs w:val="32"/>
          <w:lang w:val="en-US" w:eastAsia="zh-CN"/>
        </w:rPr>
        <w:t>4</w:t>
      </w:r>
      <w:r>
        <w:rPr>
          <w:rFonts w:hint="eastAsia" w:ascii="仿宋_GB2312" w:hAnsi="仿宋_GB2312" w:eastAsia="仿宋_GB2312" w:cs="仿宋_GB2312"/>
          <w:snapToGrid/>
          <w:color w:val="000000"/>
          <w:spacing w:val="0"/>
          <w:kern w:val="2"/>
          <w:sz w:val="32"/>
          <w:szCs w:val="32"/>
          <w:lang w:eastAsia="zh-CN"/>
        </w:rPr>
        <w:t>万元。</w:t>
      </w:r>
    </w:p>
    <w:p w14:paraId="2F8C08E1">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snapToGrid/>
          <w:color w:val="000000"/>
          <w:spacing w:val="0"/>
          <w:kern w:val="2"/>
          <w:sz w:val="32"/>
          <w:szCs w:val="32"/>
          <w:lang w:val="en-US" w:eastAsia="zh-CN"/>
        </w:rPr>
        <w:t>（十二）推进集中育秧中心建设。</w:t>
      </w:r>
      <w:r>
        <w:rPr>
          <w:rFonts w:hint="eastAsia" w:ascii="仿宋_GB2312" w:hAnsi="仿宋_GB2312" w:eastAsia="仿宋_GB2312" w:cs="仿宋_GB2312"/>
          <w:snapToGrid/>
          <w:color w:val="000000"/>
          <w:spacing w:val="0"/>
          <w:kern w:val="2"/>
          <w:sz w:val="32"/>
          <w:szCs w:val="32"/>
          <w:lang w:val="en-US" w:eastAsia="zh-CN"/>
        </w:rPr>
        <w:t>加大工厂化集中育秧扶持力度，对新建1000平方米</w:t>
      </w:r>
      <w:r>
        <w:rPr>
          <w:rFonts w:hint="eastAsia" w:ascii="仿宋_GB2312" w:hAnsi="仿宋_GB2312" w:cs="仿宋_GB2312"/>
          <w:snapToGrid/>
          <w:color w:val="000000"/>
          <w:spacing w:val="0"/>
          <w:kern w:val="2"/>
          <w:sz w:val="32"/>
          <w:szCs w:val="32"/>
          <w:lang w:eastAsia="zh-CN"/>
        </w:rPr>
        <w:t>及</w:t>
      </w:r>
      <w:r>
        <w:rPr>
          <w:rFonts w:hint="eastAsia" w:ascii="仿宋_GB2312" w:hAnsi="仿宋_GB2312" w:eastAsia="仿宋_GB2312" w:cs="仿宋_GB2312"/>
          <w:snapToGrid/>
          <w:color w:val="000000"/>
          <w:spacing w:val="0"/>
          <w:kern w:val="2"/>
          <w:sz w:val="32"/>
          <w:szCs w:val="32"/>
          <w:lang w:val="en-US" w:eastAsia="zh-CN"/>
        </w:rPr>
        <w:t>以上集中育秧中心按投资建设资金总额的10%进行补助，补助上限10万元（各级财政累计补助上限100万元）。</w:t>
      </w:r>
    </w:p>
    <w:p w14:paraId="6A42C0D8">
      <w:pPr>
        <w:keepNext w:val="0"/>
        <w:keepLines w:val="0"/>
        <w:pageBreakBefore w:val="0"/>
        <w:widowControl w:val="0"/>
        <w:kinsoku/>
        <w:wordWrap/>
        <w:overflowPunct w:val="0"/>
        <w:topLinePunct/>
        <w:autoSpaceDE/>
        <w:autoSpaceDN/>
        <w:bidi w:val="0"/>
        <w:adjustRightInd/>
        <w:snapToGrid w:val="0"/>
        <w:spacing w:line="520" w:lineRule="exact"/>
        <w:ind w:left="0" w:leftChars="0" w:right="0" w:rightChars="0" w:firstLine="640"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黑体" w:hAnsi="黑体" w:eastAsia="黑体" w:cs="黑体"/>
          <w:snapToGrid/>
          <w:color w:val="000000"/>
          <w:spacing w:val="0"/>
          <w:kern w:val="2"/>
          <w:sz w:val="32"/>
          <w:szCs w:val="32"/>
          <w:lang w:eastAsia="zh-CN"/>
        </w:rPr>
        <w:t>二、工作要求</w:t>
      </w:r>
      <w:r>
        <w:rPr>
          <w:rFonts w:hint="eastAsia" w:ascii="仿宋_GB2312" w:hAnsi="仿宋_GB2312" w:eastAsia="仿宋_GB2312" w:cs="仿宋_GB2312"/>
          <w:snapToGrid/>
          <w:color w:val="000000"/>
          <w:spacing w:val="0"/>
          <w:kern w:val="2"/>
          <w:sz w:val="32"/>
          <w:szCs w:val="32"/>
          <w:shd w:val="clear" w:color="auto" w:fill="FFFFFF"/>
          <w:lang w:eastAsia="zh-CN"/>
        </w:rPr>
        <w:t>　　</w:t>
      </w:r>
    </w:p>
    <w:p w14:paraId="526F59D3">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bCs/>
          <w:snapToGrid/>
          <w:color w:val="000000"/>
          <w:spacing w:val="0"/>
          <w:kern w:val="2"/>
          <w:sz w:val="32"/>
          <w:szCs w:val="32"/>
          <w:lang w:eastAsia="zh-CN"/>
        </w:rPr>
        <w:t>（一）强化组织领导。</w:t>
      </w:r>
      <w:r>
        <w:rPr>
          <w:rFonts w:hint="eastAsia" w:ascii="仿宋_GB2312" w:hAnsi="仿宋_GB2312" w:eastAsia="仿宋_GB2312" w:cs="仿宋_GB2312"/>
          <w:snapToGrid/>
          <w:color w:val="000000"/>
          <w:spacing w:val="0"/>
          <w:kern w:val="2"/>
          <w:sz w:val="32"/>
          <w:szCs w:val="32"/>
          <w:lang w:eastAsia="zh-CN"/>
        </w:rPr>
        <w:t>要</w:t>
      </w:r>
      <w:r>
        <w:rPr>
          <w:rFonts w:hint="eastAsia" w:ascii="仿宋_GB2312" w:hAnsi="仿宋_GB2312" w:cs="仿宋_GB2312"/>
          <w:snapToGrid/>
          <w:color w:val="000000"/>
          <w:spacing w:val="0"/>
          <w:kern w:val="2"/>
          <w:sz w:val="32"/>
          <w:szCs w:val="32"/>
          <w:lang w:eastAsia="zh-CN"/>
        </w:rPr>
        <w:t>强化</w:t>
      </w:r>
      <w:r>
        <w:rPr>
          <w:rFonts w:hint="eastAsia" w:ascii="仿宋_GB2312" w:hAnsi="仿宋_GB2312" w:eastAsia="仿宋_GB2312" w:cs="仿宋_GB2312"/>
          <w:snapToGrid/>
          <w:color w:val="000000"/>
          <w:spacing w:val="0"/>
          <w:kern w:val="2"/>
          <w:sz w:val="32"/>
          <w:szCs w:val="32"/>
          <w:lang w:eastAsia="zh-CN"/>
        </w:rPr>
        <w:t>组织领导，健全工作机制，压实工作责任，深刻认识保障粮食安全的重要性，切实把稳定发展粮食生产摆在重要位置，持续提升粮食综合生产能力，坚决守住粮食安全底线。</w:t>
      </w:r>
    </w:p>
    <w:p w14:paraId="4A891E14">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bCs/>
          <w:snapToGrid/>
          <w:color w:val="000000"/>
          <w:spacing w:val="0"/>
          <w:kern w:val="2"/>
          <w:sz w:val="32"/>
          <w:szCs w:val="32"/>
          <w:lang w:eastAsia="zh-CN"/>
        </w:rPr>
        <w:t>（二）强化政策落地。</w:t>
      </w:r>
      <w:r>
        <w:rPr>
          <w:rFonts w:hint="eastAsia" w:ascii="仿宋_GB2312" w:hAnsi="仿宋_GB2312" w:eastAsia="仿宋_GB2312" w:cs="仿宋_GB2312"/>
          <w:snapToGrid/>
          <w:color w:val="000000"/>
          <w:spacing w:val="0"/>
          <w:kern w:val="2"/>
          <w:sz w:val="32"/>
          <w:szCs w:val="32"/>
          <w:lang w:eastAsia="zh-CN"/>
        </w:rPr>
        <w:t>要加大政策宣传解读力度，推动强农惠农措施直达基层、直接惠及种植主体，充分调动农民种粮积极性；要加强项目全过程跟踪管理，确保扶持政策落实到位。</w:t>
      </w:r>
    </w:p>
    <w:p w14:paraId="3FCA3735">
      <w:pPr>
        <w:keepNext w:val="0"/>
        <w:keepLines w:val="0"/>
        <w:pageBreakBefore w:val="0"/>
        <w:widowControl w:val="0"/>
        <w:numPr>
          <w:ilvl w:val="0"/>
          <w:numId w:val="0"/>
        </w:numPr>
        <w:kinsoku/>
        <w:wordWrap/>
        <w:overflowPunct w:val="0"/>
        <w:topLinePunct/>
        <w:autoSpaceDE/>
        <w:autoSpaceDN/>
        <w:bidi w:val="0"/>
        <w:adjustRightInd/>
        <w:snapToGrid w:val="0"/>
        <w:spacing w:line="520" w:lineRule="exact"/>
        <w:ind w:left="0" w:leftChars="0" w:right="0" w:rightChars="0" w:firstLine="643" w:firstLineChars="200"/>
        <w:jc w:val="both"/>
        <w:textAlignment w:val="auto"/>
        <w:outlineLvl w:val="9"/>
        <w:rPr>
          <w:rFonts w:hint="eastAsia" w:ascii="仿宋_GB2312" w:hAnsi="仿宋_GB2312" w:eastAsia="仿宋_GB2312" w:cs="仿宋_GB2312"/>
          <w:snapToGrid/>
          <w:color w:val="000000"/>
          <w:spacing w:val="0"/>
          <w:kern w:val="2"/>
          <w:sz w:val="32"/>
          <w:szCs w:val="32"/>
          <w:lang w:eastAsia="zh-CN"/>
        </w:rPr>
      </w:pPr>
      <w:r>
        <w:rPr>
          <w:rFonts w:hint="eastAsia" w:ascii="楷体_GB2312" w:hAnsi="楷体_GB2312" w:eastAsia="楷体_GB2312" w:cs="楷体_GB2312"/>
          <w:b/>
          <w:bCs/>
          <w:snapToGrid/>
          <w:color w:val="000000"/>
          <w:spacing w:val="0"/>
          <w:kern w:val="2"/>
          <w:sz w:val="32"/>
          <w:szCs w:val="32"/>
          <w:lang w:eastAsia="zh-CN"/>
        </w:rPr>
        <w:t>（三）强化生产指导。</w:t>
      </w:r>
      <w:r>
        <w:rPr>
          <w:rFonts w:hint="eastAsia" w:ascii="仿宋_GB2312" w:hAnsi="仿宋_GB2312" w:eastAsia="仿宋_GB2312" w:cs="仿宋_GB2312"/>
          <w:snapToGrid/>
          <w:color w:val="000000"/>
          <w:spacing w:val="0"/>
          <w:kern w:val="2"/>
          <w:sz w:val="32"/>
          <w:szCs w:val="32"/>
          <w:lang w:eastAsia="zh-CN"/>
        </w:rPr>
        <w:t>要组织农业技术人员，定期或不定期地深入一线开展技术指导，推进各项政策措施的落实，协助解决困难和问题。要加强资金监管，组织项目验收后，及时兑付奖补资金。</w:t>
      </w:r>
    </w:p>
    <w:p w14:paraId="00112E04">
      <w:pPr>
        <w:keepNext w:val="0"/>
        <w:keepLines w:val="0"/>
        <w:pageBreakBefore w:val="0"/>
        <w:widowControl w:val="0"/>
        <w:kinsoku/>
        <w:wordWrap/>
        <w:overflowPunct/>
        <w:topLinePunct/>
        <w:autoSpaceDE/>
        <w:autoSpaceDN/>
        <w:bidi w:val="0"/>
        <w:adjustRightInd/>
        <w:snapToGrid w:val="0"/>
        <w:spacing w:line="520" w:lineRule="exact"/>
        <w:ind w:left="0" w:leftChars="0" w:right="0" w:rightChars="0" w:firstLine="640" w:firstLineChars="200"/>
        <w:jc w:val="left"/>
        <w:textAlignment w:val="auto"/>
        <w:rPr>
          <w:rFonts w:ascii="仿宋" w:hAnsi="仿宋" w:eastAsia="仿宋" w:cs="仿宋"/>
          <w:color w:val="000000"/>
          <w:szCs w:val="32"/>
        </w:rPr>
      </w:pPr>
      <w:r>
        <w:rPr>
          <w:rFonts w:hint="eastAsia" w:ascii="仿宋_GB2312" w:hAnsi="仿宋_GB2312" w:eastAsia="仿宋_GB2312" w:cs="仿宋_GB2312"/>
          <w:snapToGrid/>
          <w:color w:val="000000"/>
          <w:spacing w:val="0"/>
          <w:kern w:val="2"/>
          <w:sz w:val="32"/>
          <w:szCs w:val="32"/>
          <w:lang w:eastAsia="zh-CN"/>
        </w:rPr>
        <w:t>本通知自</w:t>
      </w:r>
      <w:r>
        <w:rPr>
          <w:rFonts w:hint="eastAsia" w:cs="仿宋_GB2312"/>
          <w:snapToGrid/>
          <w:color w:val="000000"/>
          <w:spacing w:val="0"/>
          <w:kern w:val="2"/>
          <w:sz w:val="32"/>
          <w:szCs w:val="32"/>
          <w:lang w:val="en-US" w:eastAsia="zh-CN"/>
        </w:rPr>
        <w:t>2026</w:t>
      </w:r>
      <w:r>
        <w:rPr>
          <w:rFonts w:hint="eastAsia" w:cs="仿宋_GB2312"/>
          <w:snapToGrid/>
          <w:color w:val="000000"/>
          <w:spacing w:val="0"/>
          <w:kern w:val="2"/>
          <w:sz w:val="32"/>
          <w:szCs w:val="32"/>
          <w:lang w:eastAsia="zh-CN"/>
        </w:rPr>
        <w:t>年</w:t>
      </w:r>
      <w:r>
        <w:rPr>
          <w:rFonts w:hint="eastAsia" w:cs="仿宋_GB2312"/>
          <w:snapToGrid/>
          <w:color w:val="000000"/>
          <w:spacing w:val="0"/>
          <w:kern w:val="2"/>
          <w:sz w:val="32"/>
          <w:szCs w:val="32"/>
          <w:lang w:val="en-US" w:eastAsia="zh-CN"/>
        </w:rPr>
        <w:t>9月7日起施行</w:t>
      </w:r>
      <w:r>
        <w:rPr>
          <w:rFonts w:hint="eastAsia" w:ascii="仿宋_GB2312" w:hAnsi="仿宋_GB2312" w:eastAsia="仿宋_GB2312" w:cs="仿宋_GB2312"/>
          <w:snapToGrid/>
          <w:color w:val="000000"/>
          <w:spacing w:val="0"/>
          <w:kern w:val="2"/>
          <w:sz w:val="32"/>
          <w:szCs w:val="32"/>
          <w:lang w:eastAsia="zh-CN"/>
        </w:rPr>
        <w:t>，有效期至202</w:t>
      </w:r>
      <w:r>
        <w:rPr>
          <w:rFonts w:hint="eastAsia" w:ascii="仿宋_GB2312" w:hAnsi="仿宋_GB2312" w:eastAsia="仿宋_GB2312" w:cs="仿宋_GB2312"/>
          <w:snapToGrid/>
          <w:color w:val="000000"/>
          <w:spacing w:val="0"/>
          <w:kern w:val="2"/>
          <w:sz w:val="32"/>
          <w:szCs w:val="32"/>
          <w:lang w:val="en-US" w:eastAsia="zh-CN"/>
        </w:rPr>
        <w:t>8</w:t>
      </w:r>
      <w:r>
        <w:rPr>
          <w:rFonts w:hint="eastAsia" w:ascii="仿宋_GB2312" w:hAnsi="仿宋_GB2312" w:eastAsia="仿宋_GB2312" w:cs="仿宋_GB2312"/>
          <w:snapToGrid/>
          <w:color w:val="000000"/>
          <w:spacing w:val="0"/>
          <w:kern w:val="2"/>
          <w:sz w:val="32"/>
          <w:szCs w:val="32"/>
          <w:lang w:eastAsia="zh-CN"/>
        </w:rPr>
        <w:t>年12月31日，《安溪县农业农村局 安溪县发展和改革局 安溪县财政局关于扶持粮油生产保障粮食安全若干措施的通知》（安农综〔202</w:t>
      </w:r>
      <w:r>
        <w:rPr>
          <w:rFonts w:hint="eastAsia" w:ascii="仿宋_GB2312" w:hAnsi="仿宋_GB2312" w:eastAsia="仿宋_GB2312" w:cs="仿宋_GB2312"/>
          <w:snapToGrid/>
          <w:color w:val="000000"/>
          <w:spacing w:val="0"/>
          <w:kern w:val="2"/>
          <w:sz w:val="32"/>
          <w:szCs w:val="32"/>
          <w:lang w:val="en-US" w:eastAsia="zh-CN"/>
        </w:rPr>
        <w:t>5</w:t>
      </w:r>
      <w:r>
        <w:rPr>
          <w:rFonts w:hint="eastAsia" w:ascii="仿宋_GB2312" w:hAnsi="仿宋_GB2312" w:eastAsia="仿宋_GB2312" w:cs="仿宋_GB2312"/>
          <w:snapToGrid/>
          <w:color w:val="000000"/>
          <w:spacing w:val="0"/>
          <w:kern w:val="2"/>
          <w:sz w:val="32"/>
          <w:szCs w:val="32"/>
          <w:lang w:eastAsia="zh-CN"/>
        </w:rPr>
        <w:t>〕</w:t>
      </w:r>
      <w:r>
        <w:rPr>
          <w:rFonts w:hint="eastAsia" w:ascii="仿宋_GB2312" w:hAnsi="仿宋_GB2312" w:eastAsia="仿宋_GB2312" w:cs="仿宋_GB2312"/>
          <w:snapToGrid/>
          <w:color w:val="000000"/>
          <w:spacing w:val="0"/>
          <w:kern w:val="2"/>
          <w:sz w:val="32"/>
          <w:szCs w:val="32"/>
          <w:lang w:val="en-US" w:eastAsia="zh-CN"/>
        </w:rPr>
        <w:t>19</w:t>
      </w:r>
      <w:r>
        <w:rPr>
          <w:rFonts w:hint="eastAsia" w:ascii="仿宋_GB2312" w:hAnsi="仿宋_GB2312" w:eastAsia="仿宋_GB2312" w:cs="仿宋_GB2312"/>
          <w:snapToGrid/>
          <w:color w:val="000000"/>
          <w:spacing w:val="0"/>
          <w:kern w:val="2"/>
          <w:sz w:val="32"/>
          <w:szCs w:val="32"/>
          <w:lang w:eastAsia="zh-CN"/>
        </w:rPr>
        <w:t>号）</w:t>
      </w:r>
      <w:r>
        <w:rPr>
          <w:rFonts w:hint="eastAsia" w:cs="仿宋_GB2312"/>
          <w:snapToGrid/>
          <w:color w:val="000000"/>
          <w:spacing w:val="0"/>
          <w:kern w:val="2"/>
          <w:sz w:val="32"/>
          <w:szCs w:val="32"/>
          <w:lang w:eastAsia="zh-CN"/>
        </w:rPr>
        <w:t>自本通知施行日起同时</w:t>
      </w:r>
      <w:r>
        <w:rPr>
          <w:rFonts w:hint="eastAsia" w:ascii="仿宋_GB2312" w:hAnsi="仿宋_GB2312" w:eastAsia="仿宋_GB2312" w:cs="仿宋_GB2312"/>
          <w:snapToGrid/>
          <w:color w:val="000000"/>
          <w:spacing w:val="0"/>
          <w:kern w:val="2"/>
          <w:sz w:val="32"/>
          <w:szCs w:val="32"/>
          <w:lang w:eastAsia="zh-CN"/>
        </w:rPr>
        <w:t>废止，相关事宜由县农业农村局负责解释。</w:t>
      </w:r>
    </w:p>
    <w:p w14:paraId="40820D4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pPr>
    </w:p>
    <w:p w14:paraId="4F0A0861">
      <w:pPr>
        <w:pStyle w:val="2"/>
        <w:keepNext w:val="0"/>
        <w:keepLines w:val="0"/>
        <w:pageBreakBefore w:val="0"/>
        <w:widowControl w:val="0"/>
        <w:kinsoku/>
        <w:wordWrap/>
        <w:autoSpaceDE/>
        <w:autoSpaceDN/>
        <w:bidi w:val="0"/>
        <w:adjustRightInd/>
        <w:spacing w:line="520" w:lineRule="exact"/>
        <w:ind w:left="0" w:leftChars="0" w:right="0" w:rightChars="0"/>
        <w:textAlignment w:val="auto"/>
      </w:pPr>
    </w:p>
    <w:p w14:paraId="4FEBDE3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rPr>
          <w:rFonts w:hint="eastAsia"/>
          <w:color w:val="auto"/>
          <w:lang w:val="en-US" w:eastAsia="zh-CN"/>
        </w:rPr>
      </w:pPr>
      <w:r>
        <w:rPr>
          <w:rFonts w:hint="eastAsia"/>
          <w:color w:val="auto"/>
          <w:lang w:eastAsia="zh-CN"/>
        </w:rPr>
        <w:t>安溪县农业农村局</w:t>
      </w:r>
      <w:r>
        <w:rPr>
          <w:rFonts w:hint="eastAsia"/>
          <w:color w:val="auto"/>
          <w:lang w:val="en-US" w:eastAsia="zh-CN"/>
        </w:rPr>
        <w:t xml:space="preserve">            安溪县发展和改革局</w:t>
      </w:r>
    </w:p>
    <w:p w14:paraId="5ECDA1D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rPr>
          <w:rFonts w:hint="eastAsia"/>
          <w:color w:val="auto"/>
          <w:lang w:val="en-US" w:eastAsia="zh-CN"/>
        </w:rPr>
      </w:pPr>
    </w:p>
    <w:p w14:paraId="16704DB1">
      <w:pPr>
        <w:pStyle w:val="2"/>
        <w:keepNext w:val="0"/>
        <w:keepLines w:val="0"/>
        <w:pageBreakBefore w:val="0"/>
        <w:widowControl w:val="0"/>
        <w:kinsoku/>
        <w:wordWrap/>
        <w:autoSpaceDE/>
        <w:autoSpaceDN/>
        <w:bidi w:val="0"/>
        <w:adjustRightInd/>
        <w:spacing w:line="520" w:lineRule="exact"/>
        <w:ind w:left="0" w:leftChars="0" w:right="0" w:rightChars="0"/>
        <w:textAlignment w:val="auto"/>
        <w:rPr>
          <w:rFonts w:hint="eastAsia"/>
          <w:lang w:val="en-US" w:eastAsia="zh-CN"/>
        </w:rPr>
      </w:pPr>
    </w:p>
    <w:p w14:paraId="72535C6D">
      <w:pPr>
        <w:keepNext w:val="0"/>
        <w:keepLines w:val="0"/>
        <w:pageBreakBefore w:val="0"/>
        <w:widowControl w:val="0"/>
        <w:tabs>
          <w:tab w:val="left" w:pos="7680"/>
        </w:tabs>
        <w:kinsoku/>
        <w:wordWrap/>
        <w:overflowPunct/>
        <w:topLinePunct w:val="0"/>
        <w:autoSpaceDE/>
        <w:autoSpaceDN/>
        <w:bidi w:val="0"/>
        <w:adjustRightInd/>
        <w:snapToGrid/>
        <w:spacing w:line="520" w:lineRule="exact"/>
        <w:ind w:left="0" w:leftChars="0" w:right="0" w:rightChars="0" w:firstLine="5760" w:firstLineChars="1800"/>
        <w:textAlignment w:val="auto"/>
        <w:rPr>
          <w:rFonts w:hint="eastAsia"/>
          <w:color w:val="auto"/>
          <w:lang w:val="en-US" w:eastAsia="zh-CN"/>
        </w:rPr>
      </w:pPr>
      <w:r>
        <w:rPr>
          <w:rFonts w:hint="eastAsia"/>
          <w:color w:val="auto"/>
          <w:lang w:val="en-US" w:eastAsia="zh-CN"/>
        </w:rPr>
        <w:t>安溪县财政局</w:t>
      </w:r>
    </w:p>
    <w:p w14:paraId="767BCBE3">
      <w:pPr>
        <w:keepNext w:val="0"/>
        <w:keepLines w:val="0"/>
        <w:pageBreakBefore w:val="0"/>
        <w:widowControl w:val="0"/>
        <w:tabs>
          <w:tab w:val="left" w:pos="7680"/>
        </w:tabs>
        <w:kinsoku/>
        <w:wordWrap/>
        <w:overflowPunct/>
        <w:topLinePunct w:val="0"/>
        <w:autoSpaceDE/>
        <w:autoSpaceDN/>
        <w:bidi w:val="0"/>
        <w:adjustRightInd/>
        <w:snapToGrid/>
        <w:spacing w:line="520" w:lineRule="exact"/>
        <w:ind w:left="0" w:leftChars="0" w:right="0" w:rightChars="0" w:firstLine="5440" w:firstLineChars="1700"/>
        <w:jc w:val="both"/>
        <w:textAlignment w:val="auto"/>
        <w:outlineLvl w:val="9"/>
        <w:rPr>
          <w:rFonts w:hint="eastAsia" w:ascii="仿宋_GB2312" w:hAnsi="宋体" w:eastAsia="仿宋_GB2312" w:cs="Times New Roman"/>
          <w:color w:val="auto"/>
          <w:kern w:val="0"/>
          <w:sz w:val="32"/>
          <w:szCs w:val="24"/>
          <w:lang w:val="en-US" w:eastAsia="zh-CN" w:bidi="ar-SA"/>
        </w:rPr>
      </w:pPr>
      <w:r>
        <w:rPr>
          <w:rFonts w:hint="eastAsia" w:ascii="仿宋_GB2312" w:hAnsi="宋体" w:eastAsia="仿宋_GB2312" w:cs="Times New Roman"/>
          <w:color w:val="auto"/>
          <w:kern w:val="0"/>
          <w:sz w:val="32"/>
          <w:szCs w:val="24"/>
          <w:lang w:val="en-US" w:eastAsia="zh-CN" w:bidi="ar-SA"/>
        </w:rPr>
        <w:t>202</w:t>
      </w:r>
      <w:r>
        <w:rPr>
          <w:rFonts w:hint="eastAsia" w:ascii="仿宋_GB2312" w:hAnsi="宋体" w:cs="Times New Roman"/>
          <w:color w:val="auto"/>
          <w:kern w:val="0"/>
          <w:sz w:val="32"/>
          <w:szCs w:val="24"/>
          <w:lang w:val="en-US" w:eastAsia="zh-CN" w:bidi="ar-SA"/>
        </w:rPr>
        <w:t>6</w:t>
      </w:r>
      <w:r>
        <w:rPr>
          <w:rFonts w:hint="eastAsia" w:ascii="仿宋_GB2312" w:hAnsi="宋体" w:eastAsia="仿宋_GB2312" w:cs="Times New Roman"/>
          <w:color w:val="auto"/>
          <w:kern w:val="0"/>
          <w:sz w:val="32"/>
          <w:szCs w:val="24"/>
          <w:lang w:val="en-US" w:eastAsia="zh-CN" w:bidi="ar-SA"/>
        </w:rPr>
        <w:t>年</w:t>
      </w:r>
      <w:r>
        <w:rPr>
          <w:rFonts w:hint="eastAsia" w:ascii="仿宋_GB2312" w:hAnsi="宋体" w:cs="Times New Roman"/>
          <w:color w:val="auto"/>
          <w:kern w:val="0"/>
          <w:sz w:val="32"/>
          <w:szCs w:val="24"/>
          <w:lang w:val="en-US" w:eastAsia="zh-CN" w:bidi="ar-SA"/>
        </w:rPr>
        <w:t>8</w:t>
      </w:r>
      <w:r>
        <w:rPr>
          <w:rFonts w:hint="eastAsia" w:ascii="仿宋_GB2312" w:hAnsi="宋体" w:eastAsia="仿宋_GB2312" w:cs="Times New Roman"/>
          <w:color w:val="auto"/>
          <w:kern w:val="0"/>
          <w:sz w:val="32"/>
          <w:szCs w:val="24"/>
          <w:lang w:val="en-US" w:eastAsia="zh-CN" w:bidi="ar-SA"/>
        </w:rPr>
        <w:t>月</w:t>
      </w:r>
      <w:r>
        <w:rPr>
          <w:rFonts w:hint="eastAsia" w:ascii="仿宋_GB2312" w:hAnsi="宋体" w:cs="Times New Roman"/>
          <w:color w:val="auto"/>
          <w:kern w:val="0"/>
          <w:sz w:val="32"/>
          <w:szCs w:val="24"/>
          <w:lang w:val="en-US" w:eastAsia="zh-CN" w:bidi="ar-SA"/>
        </w:rPr>
        <w:t>7</w:t>
      </w:r>
      <w:r>
        <w:rPr>
          <w:rFonts w:hint="eastAsia" w:ascii="仿宋_GB2312" w:hAnsi="宋体" w:eastAsia="仿宋_GB2312" w:cs="Times New Roman"/>
          <w:color w:val="auto"/>
          <w:kern w:val="0"/>
          <w:sz w:val="32"/>
          <w:szCs w:val="24"/>
          <w:lang w:val="en-US" w:eastAsia="zh-CN" w:bidi="ar-SA"/>
        </w:rPr>
        <w:t>日</w:t>
      </w:r>
    </w:p>
    <w:p w14:paraId="09F07DAA">
      <w:pPr>
        <w:pStyle w:val="2"/>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_GB2312" w:hAnsi="宋体" w:eastAsia="仿宋_GB2312" w:cs="Times New Roman"/>
          <w:color w:val="auto"/>
          <w:kern w:val="0"/>
          <w:sz w:val="32"/>
          <w:szCs w:val="24"/>
          <w:lang w:val="en-US" w:eastAsia="zh-CN" w:bidi="ar-SA"/>
        </w:rPr>
      </w:pPr>
    </w:p>
    <w:p w14:paraId="3B4897A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_GB2312" w:hAnsi="宋体" w:eastAsia="仿宋_GB2312" w:cs="Times New Roman"/>
          <w:color w:val="auto"/>
          <w:kern w:val="0"/>
          <w:sz w:val="32"/>
          <w:szCs w:val="24"/>
          <w:lang w:val="en-US" w:eastAsia="zh-CN" w:bidi="ar-SA"/>
        </w:rPr>
      </w:pPr>
    </w:p>
    <w:p w14:paraId="0A1C92FE">
      <w:pPr>
        <w:pStyle w:val="2"/>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_GB2312" w:hAnsi="宋体" w:eastAsia="仿宋_GB2312" w:cs="Times New Roman"/>
          <w:color w:val="auto"/>
          <w:kern w:val="0"/>
          <w:sz w:val="32"/>
          <w:szCs w:val="24"/>
          <w:lang w:val="en-US" w:eastAsia="zh-CN" w:bidi="ar-SA"/>
        </w:rPr>
      </w:pPr>
    </w:p>
    <w:p w14:paraId="2A56B4D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lang w:val="en-US" w:eastAsia="zh-CN"/>
        </w:rPr>
      </w:pPr>
    </w:p>
    <w:p w14:paraId="1D43B20B">
      <w:pPr>
        <w:adjustRightInd w:val="0"/>
        <w:snapToGrid w:val="0"/>
        <w:spacing w:line="580" w:lineRule="exact"/>
        <w:ind w:firstLine="320" w:firstLineChars="100"/>
        <w:rPr>
          <w:rFonts w:hint="eastAsia" w:ascii="仿宋_GB2312" w:hAnsi="宋体" w:eastAsia="仿宋_GB2312" w:cs="Times New Roman"/>
          <w:color w:val="auto"/>
          <w:kern w:val="0"/>
          <w:sz w:val="32"/>
          <w:szCs w:val="24"/>
          <w:lang w:val="en-US" w:eastAsia="zh-CN" w:bidi="ar-SA"/>
        </w:rPr>
      </w:pPr>
      <w:r>
        <mc:AlternateContent>
          <mc:Choice Requires="wps">
            <w:drawing>
              <wp:anchor distT="0" distB="0" distL="114300" distR="114300" simplePos="0" relativeHeight="251661312" behindDoc="0" locked="0" layoutInCell="1" allowOverlap="1">
                <wp:simplePos x="0" y="0"/>
                <wp:positionH relativeFrom="column">
                  <wp:posOffset>-66040</wp:posOffset>
                </wp:positionH>
                <wp:positionV relativeFrom="paragraph">
                  <wp:posOffset>19685</wp:posOffset>
                </wp:positionV>
                <wp:extent cx="5725160" cy="3175"/>
                <wp:effectExtent l="0" t="0" r="0" b="0"/>
                <wp:wrapNone/>
                <wp:docPr id="4" name="直线 4"/>
                <wp:cNvGraphicFramePr/>
                <a:graphic xmlns:a="http://schemas.openxmlformats.org/drawingml/2006/main">
                  <a:graphicData uri="http://schemas.microsoft.com/office/word/2010/wordprocessingShape">
                    <wps:wsp>
                      <wps:cNvCnPr/>
                      <wps:spPr>
                        <a:xfrm>
                          <a:off x="0" y="0"/>
                          <a:ext cx="5725160" cy="317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线 4" o:spid="_x0000_s1026" o:spt="32" type="#_x0000_t32" style="position:absolute;left:0pt;margin-left:-5.2pt;margin-top:1.55pt;height:0.25pt;width:450.8pt;z-index:251661312;mso-width-relative:page;mso-height-relative:page;" filled="f" stroked="t" coordsize="21600,21600" o:gfxdata="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FMTo9UAAAAHAQAADwAAAAAAAAABACAAAAAiAAAAZHJzL2Rvd25yZXYueG1sUEsBAhQAFAAAAAgA&#10;h07iQIzlVpjvAQAA6gMAAA4AAAAAAAAAAQAgAAAAJAEAAGRycy9lMm9Eb2MueG1sUEsFBgAAAAAG&#10;AAYAWQEAAIU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367665</wp:posOffset>
                </wp:positionV>
                <wp:extent cx="5725795" cy="17145"/>
                <wp:effectExtent l="0" t="0" r="0" b="0"/>
                <wp:wrapNone/>
                <wp:docPr id="3" name="直线 3"/>
                <wp:cNvGraphicFramePr/>
                <a:graphic xmlns:a="http://schemas.openxmlformats.org/drawingml/2006/main">
                  <a:graphicData uri="http://schemas.microsoft.com/office/word/2010/wordprocessingShape">
                    <wps:wsp>
                      <wps:cNvCnPr/>
                      <wps:spPr>
                        <a:xfrm>
                          <a:off x="0" y="0"/>
                          <a:ext cx="5725795" cy="1714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线 3" o:spid="_x0000_s1026" o:spt="32" type="#_x0000_t32" style="position:absolute;left:0pt;margin-left:-5.25pt;margin-top:28.95pt;height:1.35pt;width:450.85pt;z-index:251662336;mso-width-relative:page;mso-height-relative:page;" filled="f" stroked="t" coordsize="21600,21600" o:gfxdata="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K+V1LYAAAACQEAAA8AAAAAAAAAAQAgAAAAIgAAAGRycy9kb3ducmV2LnhtbFBLAQIUABQA&#10;AAAIAIdO4kA/CaH18AEAAOsDAAAOAAAAAAAAAAEAIAAAACcBAABkcnMvZTJvRG9jLnhtbFBLBQYA&#10;AAAABgAGAFkBAACJBQAAAAA=&#10;">
                <v:fill on="f" focussize="0,0"/>
                <v:stroke color="#000000" joinstyle="round"/>
                <v:imagedata o:title=""/>
                <o:lock v:ext="edit" aspectratio="f"/>
              </v:shape>
            </w:pict>
          </mc:Fallback>
        </mc:AlternateContent>
      </w:r>
      <w:r>
        <w:rPr>
          <w:rFonts w:hint="eastAsia" w:ascii="仿宋_GB2312" w:hAnsi="仿宋_GB2312" w:eastAsia="仿宋_GB2312" w:cs="仿宋_GB2312"/>
          <w:color w:val="000000"/>
          <w:sz w:val="28"/>
          <w:szCs w:val="28"/>
        </w:rPr>
        <w:t>安溪县农业农村局办公室</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ascii="仿宋_GB2312" w:hAnsi="仿宋_GB2312" w:eastAsia="仿宋_GB2312" w:cs="仿宋_GB2312"/>
          <w:color w:val="000000"/>
          <w:sz w:val="28"/>
          <w:szCs w:val="28"/>
        </w:rPr>
        <w:t xml:space="preserve"> </w:t>
      </w:r>
      <w:r>
        <w:rPr>
          <w:rFonts w:hint="eastAsia" w:ascii="仿宋_GB2312" w:hAnsi="仿宋_GB2312" w:cs="仿宋_GB2312"/>
          <w:color w:val="000000"/>
          <w:sz w:val="28"/>
          <w:szCs w:val="28"/>
          <w:lang w:val="en-US" w:eastAsia="zh-CN"/>
        </w:rPr>
        <w:t xml:space="preserve"> </w:t>
      </w:r>
      <w:r>
        <w:rPr>
          <w:rFonts w:ascii="仿宋_GB2312" w:hAnsi="仿宋_GB2312" w:eastAsia="仿宋_GB2312" w:cs="仿宋_GB2312"/>
          <w:color w:val="000000"/>
          <w:sz w:val="28"/>
          <w:szCs w:val="28"/>
        </w:rPr>
        <w:t xml:space="preserve">   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cs="仿宋_GB2312"/>
          <w:color w:val="000000"/>
          <w:sz w:val="28"/>
          <w:szCs w:val="28"/>
          <w:lang w:val="en-US" w:eastAsia="zh-CN"/>
        </w:rPr>
        <w:t>7</w:t>
      </w:r>
      <w:r>
        <w:rPr>
          <w:rFonts w:hint="eastAsia" w:ascii="仿宋_GB2312" w:hAnsi="仿宋_GB2312" w:eastAsia="仿宋_GB2312" w:cs="仿宋_GB2312"/>
          <w:color w:val="000000"/>
          <w:sz w:val="28"/>
          <w:szCs w:val="28"/>
        </w:rPr>
        <w:t>日印发</w:t>
      </w:r>
    </w:p>
    <w:sectPr>
      <w:headerReference r:id="rId3" w:type="default"/>
      <w:footerReference r:id="rId4" w:type="default"/>
      <w:pgSz w:w="11906" w:h="16838"/>
      <w:pgMar w:top="1701" w:right="1474" w:bottom="1701" w:left="1474" w:header="851" w:footer="992" w:gutter="0"/>
      <w:pgNumType w:fmt="numberInDash"/>
      <w:cols w:space="0" w:num="1"/>
      <w:rtlGutter w:val="0"/>
      <w:docGrid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E3E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48DC7">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1448DC7">
                    <w:pPr>
                      <w:pStyle w:val="10"/>
                      <w:rPr>
                        <w:rFonts w:hint="eastAsia" w:eastAsia="仿宋_GB2312"/>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9B30">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879B30">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334B">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320"/>
  <w:drawingGridVerticalSpacing w:val="219"/>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C0081"/>
    <w:rsid w:val="00CF0F4E"/>
    <w:rsid w:val="01292A06"/>
    <w:rsid w:val="01F21968"/>
    <w:rsid w:val="031450A9"/>
    <w:rsid w:val="054162A1"/>
    <w:rsid w:val="05E632AA"/>
    <w:rsid w:val="064A2A71"/>
    <w:rsid w:val="067A137F"/>
    <w:rsid w:val="06837E25"/>
    <w:rsid w:val="07A22654"/>
    <w:rsid w:val="09945BB4"/>
    <w:rsid w:val="0A4651FD"/>
    <w:rsid w:val="0C1C7D25"/>
    <w:rsid w:val="0C3B6140"/>
    <w:rsid w:val="0CF1770B"/>
    <w:rsid w:val="0D26294C"/>
    <w:rsid w:val="0F79653C"/>
    <w:rsid w:val="10B122E7"/>
    <w:rsid w:val="118D29FA"/>
    <w:rsid w:val="11BC26E2"/>
    <w:rsid w:val="12AC1431"/>
    <w:rsid w:val="15E72568"/>
    <w:rsid w:val="17412CFE"/>
    <w:rsid w:val="181A7D34"/>
    <w:rsid w:val="1A0C0081"/>
    <w:rsid w:val="1A975C0F"/>
    <w:rsid w:val="1D5E318B"/>
    <w:rsid w:val="1DEB44A1"/>
    <w:rsid w:val="213F4143"/>
    <w:rsid w:val="21505E37"/>
    <w:rsid w:val="21BB2DDF"/>
    <w:rsid w:val="26574DAE"/>
    <w:rsid w:val="27CE17BE"/>
    <w:rsid w:val="2CAC0E49"/>
    <w:rsid w:val="2DAB4DEA"/>
    <w:rsid w:val="31AA021B"/>
    <w:rsid w:val="36AE142E"/>
    <w:rsid w:val="378FDEF8"/>
    <w:rsid w:val="37941B6E"/>
    <w:rsid w:val="37A80BE0"/>
    <w:rsid w:val="37EE627C"/>
    <w:rsid w:val="39A97E95"/>
    <w:rsid w:val="3CFF824D"/>
    <w:rsid w:val="3DC03CDE"/>
    <w:rsid w:val="3E5F47C3"/>
    <w:rsid w:val="3FBF5030"/>
    <w:rsid w:val="442F7D66"/>
    <w:rsid w:val="45445C28"/>
    <w:rsid w:val="45B02A74"/>
    <w:rsid w:val="46853538"/>
    <w:rsid w:val="49C96975"/>
    <w:rsid w:val="4CF46CCF"/>
    <w:rsid w:val="4D461B6B"/>
    <w:rsid w:val="4DD03170"/>
    <w:rsid w:val="53BB21BD"/>
    <w:rsid w:val="54012060"/>
    <w:rsid w:val="5583158B"/>
    <w:rsid w:val="560628FF"/>
    <w:rsid w:val="584026D9"/>
    <w:rsid w:val="58A95F9F"/>
    <w:rsid w:val="59571FCF"/>
    <w:rsid w:val="5AAA29CD"/>
    <w:rsid w:val="5B8F0C89"/>
    <w:rsid w:val="5D4E6689"/>
    <w:rsid w:val="5DDF0D3E"/>
    <w:rsid w:val="5F52023C"/>
    <w:rsid w:val="60BB7BE5"/>
    <w:rsid w:val="6199041B"/>
    <w:rsid w:val="622E0D81"/>
    <w:rsid w:val="636D30EF"/>
    <w:rsid w:val="64D03DF2"/>
    <w:rsid w:val="665E38CF"/>
    <w:rsid w:val="69981651"/>
    <w:rsid w:val="6ADE3093"/>
    <w:rsid w:val="6AF7A658"/>
    <w:rsid w:val="6CD52274"/>
    <w:rsid w:val="6D4340D9"/>
    <w:rsid w:val="6E380D0C"/>
    <w:rsid w:val="6F794770"/>
    <w:rsid w:val="713118C3"/>
    <w:rsid w:val="734F16D7"/>
    <w:rsid w:val="745F5CCF"/>
    <w:rsid w:val="788772C8"/>
    <w:rsid w:val="7DB9CE4D"/>
    <w:rsid w:val="7DFBD9AE"/>
    <w:rsid w:val="7E903C0B"/>
    <w:rsid w:val="7E9973AD"/>
    <w:rsid w:val="7F804964"/>
    <w:rsid w:val="7F87D159"/>
    <w:rsid w:val="7FA60006"/>
    <w:rsid w:val="7FF1F076"/>
    <w:rsid w:val="7FF37BD0"/>
    <w:rsid w:val="97F75014"/>
    <w:rsid w:val="B5FF2268"/>
    <w:rsid w:val="B7FF4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宋体"/>
      <w:b/>
      <w:kern w:val="44"/>
      <w:sz w:val="44"/>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alloon Text"/>
    <w:basedOn w:val="1"/>
    <w:next w:val="1"/>
    <w:qFormat/>
    <w:uiPriority w:val="0"/>
    <w:rPr>
      <w:rFonts w:ascii="Times New Roman" w:hAnsi="Times New Roman" w:eastAsia="方正书宋_GBK" w:cs="Times New Roman"/>
      <w:sz w:val="18"/>
      <w:szCs w:val="18"/>
    </w:rPr>
  </w:style>
  <w:style w:type="paragraph" w:styleId="4">
    <w:name w:val="Normal Indent"/>
    <w:basedOn w:val="1"/>
    <w:qFormat/>
    <w:uiPriority w:val="0"/>
    <w:pPr>
      <w:ind w:firstLine="420" w:firstLineChars="200"/>
    </w:pPr>
  </w:style>
  <w:style w:type="paragraph" w:styleId="5">
    <w:name w:val="Body Text 3"/>
    <w:qFormat/>
    <w:uiPriority w:val="0"/>
    <w:pPr>
      <w:widowControl w:val="0"/>
      <w:spacing w:after="120"/>
      <w:jc w:val="both"/>
    </w:pPr>
    <w:rPr>
      <w:rFonts w:ascii="Calibri" w:hAnsi="Calibri" w:eastAsia="宋体" w:cs="Times New Roman"/>
      <w:kern w:val="2"/>
      <w:sz w:val="16"/>
      <w:szCs w:val="16"/>
      <w:lang w:val="en-US" w:eastAsia="zh-CN" w:bidi="ar-SA"/>
    </w:rPr>
  </w:style>
  <w:style w:type="paragraph" w:styleId="6">
    <w:name w:val="Body Text Indent"/>
    <w:basedOn w:val="1"/>
    <w:qFormat/>
    <w:uiPriority w:val="0"/>
    <w:pPr>
      <w:spacing w:after="120"/>
      <w:ind w:left="420" w:leftChars="200"/>
    </w:pPr>
  </w:style>
  <w:style w:type="paragraph" w:styleId="7">
    <w:name w:val="toc 5"/>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8">
    <w:name w:val="Plain Text"/>
    <w:basedOn w:val="1"/>
    <w:qFormat/>
    <w:uiPriority w:val="0"/>
    <w:rPr>
      <w:rFonts w:ascii="宋体" w:hAnsi="Courier New"/>
      <w:szCs w:val="20"/>
    </w:rPr>
  </w:style>
  <w:style w:type="paragraph" w:styleId="9">
    <w:name w:val="Body Text Indent 2"/>
    <w:basedOn w:val="1"/>
    <w:next w:val="1"/>
    <w:qFormat/>
    <w:uiPriority w:val="0"/>
    <w:pPr>
      <w:spacing w:after="120" w:line="480" w:lineRule="auto"/>
      <w:ind w:left="420" w:leftChars="200"/>
    </w:pPr>
    <w:rPr>
      <w:rFonts w:eastAsia="仿宋_GB2312"/>
      <w:sz w:val="32"/>
    </w:rPr>
  </w:style>
  <w:style w:type="paragraph" w:styleId="10">
    <w:name w:val="footer"/>
    <w:basedOn w:val="1"/>
    <w:next w:val="7"/>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rPr>
  </w:style>
  <w:style w:type="paragraph" w:styleId="13">
    <w:name w:val="Body Text First Indent 2"/>
    <w:basedOn w:val="6"/>
    <w:qFormat/>
    <w:uiPriority w:val="0"/>
    <w:pPr>
      <w:ind w:firstLine="420" w:firstLineChars="200"/>
    </w:pPr>
  </w:style>
  <w:style w:type="character" w:styleId="16">
    <w:name w:val="page number"/>
    <w:basedOn w:val="15"/>
    <w:qFormat/>
    <w:uiPriority w:val="0"/>
  </w:style>
  <w:style w:type="paragraph" w:customStyle="1" w:styleId="17">
    <w:name w:val="BodyTextIndent2"/>
    <w:qFormat/>
    <w:locked/>
    <w:uiPriority w:val="0"/>
    <w:pPr>
      <w:widowControl w:val="0"/>
      <w:spacing w:line="480" w:lineRule="auto"/>
      <w:ind w:left="420" w:leftChars="200"/>
      <w:jc w:val="both"/>
      <w:textAlignment w:val="baseline"/>
    </w:pPr>
    <w:rPr>
      <w:rFonts w:ascii="Times New Roman" w:hAnsi="Times New Roman" w:eastAsia="仿宋_GB2312" w:cs="Times New Roman"/>
      <w:kern w:val="32"/>
      <w:sz w:val="32"/>
      <w:szCs w:val="32"/>
      <w:lang w:val="en-US" w:eastAsia="zh-CN" w:bidi="ar-SA"/>
    </w:rPr>
  </w:style>
  <w:style w:type="paragraph" w:customStyle="1" w:styleId="18">
    <w:name w:val="Default"/>
    <w:qFormat/>
    <w:uiPriority w:val="0"/>
    <w:pPr>
      <w:widowControl w:val="0"/>
      <w:autoSpaceDE w:val="0"/>
      <w:autoSpaceDN w:val="0"/>
      <w:adjustRightInd w:val="0"/>
    </w:pPr>
    <w:rPr>
      <w:rFonts w:ascii="方正小标宋_GBK" w:hAnsi="方正小标宋_GBK"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ca46e59a-1387-4212-9a72-0bd8aedfdeb8</errorID>
      <errorWord>日至2026年</errorWord>
      <group>L1_Word</group>
      <groupName>字词问题</groupName>
      <ability>L2_Typo</ability>
      <abilityName>字词错误</abilityName>
      <candidateList>
        <item>日起至2026年</item>
      </candidateList>
      <explain/>
      <paraID>69E4749B</paraID>
      <start>32</start>
      <end>39</end>
      <status>ignored</status>
      <modifiedWord/>
      <trackRevisions>false</trackRevisions>
    </reviewItem>
    <reviewItem>
      <errorID>4fd14043-51b0-4cba-83e8-f832dd44390c</errorID>
      <errorWord>。</errorWord>
      <group>L1_Punc</group>
      <groupName>标点问题</groupName>
      <ability>L2_Punc_CN</ability>
      <abilityName>标点符号问题</abilityName>
      <candidateList>
        <item>，</item>
      </candidateList>
      <explain/>
      <paraID>3365F4D1</paraID>
      <start>74</start>
      <end>75</end>
      <status>ignored</status>
      <modifiedWord/>
      <trackRevisions>false</trackRevisions>
    </reviewItem>
    <reviewItem>
      <errorID>ef824514-7948-4ce4-aeb1-20e83da7ff12</errorID>
      <errorWord>按照每年</errorWord>
      <group>L1_Word</group>
      <groupName>字词问题</groupName>
      <ability>L2_Typo</ability>
      <abilityName>字词错误</abilityName>
      <candidateList>
        <item>每年按照</item>
      </candidateList>
      <explain/>
      <paraID>6EE4714C</paraID>
      <start>12</start>
      <end>16</end>
      <status>ignored</status>
      <modifiedWord/>
      <trackRevisions>false</trackRevisions>
    </reviewItem>
    <reviewItem>
      <errorID>77406d93-1ca5-4d57-83a5-269b855113cc</errorID>
      <errorWord>进行</errorWord>
      <group>L1_Grammar</group>
      <groupName>语法问题</groupName>
      <ability>L2_Grammar</ability>
      <abilityName>语法错误</abilityName>
      <candidateList>
        <item>的标准进行</item>
      </candidateList>
      <explain/>
      <paraID>6EE4714C</paraID>
      <start>44</start>
      <end>46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eb504-0768-4a32-a13f-59e7df2fe03c}">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1826</Words>
  <Characters>1912</Characters>
  <Lines>0</Lines>
  <Paragraphs>0</Paragraphs>
  <TotalTime>4</TotalTime>
  <ScaleCrop>false</ScaleCrop>
  <LinksUpToDate>false</LinksUpToDate>
  <CharactersWithSpaces>1950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2025-01-17T16:55:00Z</dcterms:created>
  <dc:creator>山高路远</dc:creator>
  <cp:lastModifiedBy>ccn</cp:lastModifiedBy>
  <cp:lastPrinted>2026-08-10T02:40:10Z</cp:lastPrinted>
  <dcterms:modified xsi:type="dcterms:W3CDTF">2026-08-10T02:40:17Z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58D037C86AAF4F8E8CF318362CC4F53E_13</vt:lpwstr>
  </property>
  <property fmtid="{D5CDD505-2E9C-101B-9397-08002B2CF9AE}" pid="4" name="KSOTemplateDocerSaveRecord">
    <vt:lpwstr>eyJoZGlkIjoiNjkxYWEzNTZjNGUyZTI2MjhlYjM5MjBjMmVmODE5NDUiLCJ1c2VySWQiOiIyOTI4NzQ4NzIifQ==</vt:lpwstr>
  </property>
</Properties>
</file>