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3730E">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p>
    <w:p w14:paraId="05B561EC">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p>
    <w:p w14:paraId="514DEF86">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p>
    <w:p w14:paraId="41154B00">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p>
    <w:p w14:paraId="4B9E6898">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p>
    <w:p w14:paraId="1402FC5C">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p>
    <w:p w14:paraId="5432F9C2">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p>
    <w:p w14:paraId="1280D1DB">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仿宋_GB2312" w:hAnsi="Times New Roman" w:eastAsia="仿宋_GB2312" w:cs="Times New Roman"/>
          <w:sz w:val="32"/>
          <w:szCs w:val="32"/>
        </w:rPr>
      </w:pPr>
      <w:r>
        <w:rPr>
          <w:rFonts w:hint="eastAsia" w:ascii="仿宋_GB2312" w:hAnsi="Times New Roman" w:eastAsia="仿宋_GB2312" w:cs="Times New Roman"/>
          <w:sz w:val="32"/>
          <w:szCs w:val="32"/>
        </w:rPr>
        <w:t>安农财〔</w:t>
      </w:r>
      <w:r>
        <w:rPr>
          <w:rFonts w:ascii="仿宋_GB2312" w:hAnsi="Times New Roman" w:eastAsia="仿宋_GB2312" w:cs="Times New Roman"/>
          <w:sz w:val="32"/>
          <w:szCs w:val="32"/>
        </w:rPr>
        <w:t>202</w:t>
      </w: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65</w:t>
      </w:r>
      <w:r>
        <w:rPr>
          <w:rFonts w:hint="eastAsia" w:ascii="仿宋_GB2312" w:hAnsi="Times New Roman" w:eastAsia="仿宋_GB2312" w:cs="Times New Roman"/>
          <w:sz w:val="32"/>
          <w:szCs w:val="32"/>
        </w:rPr>
        <w:t>号</w:t>
      </w:r>
    </w:p>
    <w:p w14:paraId="1757AC11">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Times New Roman" w:hAnsi="Times New Roman" w:eastAsia="仿宋_GB2312" w:cs="Times New Roman"/>
          <w:sz w:val="32"/>
          <w:szCs w:val="32"/>
        </w:rPr>
      </w:pPr>
    </w:p>
    <w:p w14:paraId="26162006">
      <w:pPr>
        <w:keepNext w:val="0"/>
        <w:keepLines w:val="0"/>
        <w:pageBreakBefore w:val="0"/>
        <w:widowControl/>
        <w:kinsoku/>
        <w:wordWrap/>
        <w:overflowPunct/>
        <w:topLinePunct w:val="0"/>
        <w:autoSpaceDE/>
        <w:autoSpaceDN/>
        <w:bidi w:val="0"/>
        <w:adjustRightInd w:val="0"/>
        <w:snapToGrid w:val="0"/>
        <w:spacing w:after="0" w:line="620" w:lineRule="exact"/>
        <w:ind w:left="0" w:leftChars="0" w:right="0" w:rightChars="0" w:firstLine="0" w:firstLineChars="0"/>
        <w:jc w:val="center"/>
        <w:textAlignment w:val="auto"/>
        <w:outlineLvl w:val="9"/>
        <w:rPr>
          <w:rFonts w:ascii="Times New Roman" w:hAnsi="Times New Roman" w:eastAsia="仿宋_GB2312" w:cs="Times New Roman"/>
          <w:sz w:val="32"/>
          <w:szCs w:val="32"/>
        </w:rPr>
      </w:pPr>
    </w:p>
    <w:p w14:paraId="67A4DB3A">
      <w:pPr>
        <w:keepNext w:val="0"/>
        <w:keepLines w:val="0"/>
        <w:pageBreakBefore w:val="0"/>
        <w:widowControl/>
        <w:kinsoku/>
        <w:wordWrap/>
        <w:overflowPunct/>
        <w:topLinePunct w:val="0"/>
        <w:autoSpaceDE/>
        <w:autoSpaceDN/>
        <w:bidi w:val="0"/>
        <w:adjustRightInd/>
        <w:snapToGrid/>
        <w:spacing w:after="0" w:line="660" w:lineRule="exact"/>
        <w:ind w:left="0" w:leftChars="0" w:right="0" w:rightChars="0" w:firstLine="0" w:firstLineChars="0"/>
        <w:jc w:val="center"/>
        <w:textAlignment w:val="auto"/>
        <w:outlineLvl w:val="9"/>
        <w:rPr>
          <w:rFonts w:ascii="方正小标宋简体" w:hAnsi="Times New Roman" w:eastAsia="方正小标宋简体" w:cs="Times New Roman"/>
          <w:bCs/>
          <w:spacing w:val="0"/>
          <w:sz w:val="44"/>
          <w:szCs w:val="44"/>
        </w:rPr>
      </w:pPr>
      <w:r>
        <w:rPr>
          <w:rFonts w:hint="eastAsia" w:ascii="方正小标宋简体" w:hAnsi="Times New Roman" w:eastAsia="方正小标宋简体" w:cs="Times New Roman"/>
          <w:bCs/>
          <w:spacing w:val="0"/>
          <w:sz w:val="44"/>
          <w:szCs w:val="44"/>
        </w:rPr>
        <w:t>安溪县农业农村局</w:t>
      </w:r>
      <w:r>
        <w:rPr>
          <w:rFonts w:hint="eastAsia" w:ascii="方正小标宋简体" w:hAnsi="Times New Roman" w:eastAsia="方正小标宋简体" w:cs="Times New Roman"/>
          <w:bCs/>
          <w:spacing w:val="0"/>
          <w:sz w:val="44"/>
          <w:szCs w:val="44"/>
          <w:lang w:val="en-US" w:eastAsia="zh-CN"/>
        </w:rPr>
        <w:t xml:space="preserve">  安溪县财政局</w:t>
      </w:r>
      <w:r>
        <w:rPr>
          <w:rFonts w:hint="eastAsia" w:ascii="方正小标宋简体" w:hAnsi="Times New Roman" w:eastAsia="方正小标宋简体" w:cs="Times New Roman"/>
          <w:bCs/>
          <w:spacing w:val="0"/>
          <w:sz w:val="44"/>
          <w:szCs w:val="44"/>
        </w:rPr>
        <w:t>关于</w:t>
      </w:r>
      <w:r>
        <w:rPr>
          <w:rFonts w:hint="eastAsia" w:ascii="方正小标宋简体" w:hAnsi="方正小标宋简体" w:eastAsia="方正小标宋简体" w:cs="方正小标宋简体"/>
          <w:b w:val="0"/>
          <w:bCs w:val="0"/>
          <w:color w:val="000000"/>
          <w:spacing w:val="0"/>
          <w:sz w:val="44"/>
          <w:szCs w:val="44"/>
        </w:rPr>
        <w:t>下达</w:t>
      </w:r>
      <w:r>
        <w:rPr>
          <w:rFonts w:hint="eastAsia" w:ascii="方正小标宋简体" w:hAnsi="方正小标宋简体" w:eastAsia="方正小标宋简体" w:cs="方正小标宋简体"/>
          <w:b w:val="0"/>
          <w:bCs w:val="0"/>
          <w:color w:val="000000"/>
          <w:spacing w:val="0"/>
          <w:sz w:val="44"/>
          <w:szCs w:val="44"/>
          <w:lang w:val="en-US" w:eastAsia="zh-CN"/>
        </w:rPr>
        <w:t>2026年中央专项彩票公益金支持革命老区乡村振兴项目资金</w:t>
      </w:r>
      <w:r>
        <w:rPr>
          <w:rFonts w:hint="eastAsia" w:ascii="方正小标宋简体" w:hAnsi="方正小标宋简体" w:eastAsia="方正小标宋简体" w:cs="方正小标宋简体"/>
          <w:b w:val="0"/>
          <w:bCs w:val="0"/>
          <w:color w:val="000000"/>
          <w:spacing w:val="0"/>
          <w:sz w:val="44"/>
          <w:szCs w:val="44"/>
        </w:rPr>
        <w:t>的通知</w:t>
      </w:r>
    </w:p>
    <w:p w14:paraId="535C4818">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jc w:val="both"/>
        <w:textAlignment w:val="auto"/>
        <w:outlineLvl w:val="9"/>
        <w:rPr>
          <w:rFonts w:ascii="方正小标宋简体" w:hAnsi="Times New Roman" w:eastAsia="方正小标宋简体" w:cs="Times New Roman"/>
          <w:sz w:val="32"/>
          <w:szCs w:val="32"/>
        </w:rPr>
      </w:pPr>
    </w:p>
    <w:p w14:paraId="2E712CC8">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金谷镇</w:t>
      </w:r>
      <w:r>
        <w:rPr>
          <w:rFonts w:hint="eastAsia" w:ascii="仿宋_GB2312" w:hAnsi="仿宋_GB2312" w:eastAsia="仿宋_GB2312" w:cs="仿宋_GB2312"/>
          <w:sz w:val="32"/>
          <w:szCs w:val="32"/>
        </w:rPr>
        <w:t>人民政府：</w:t>
      </w:r>
    </w:p>
    <w:p w14:paraId="60832897">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闽</w:t>
      </w:r>
      <w:r>
        <w:rPr>
          <w:rFonts w:hint="eastAsia" w:ascii="仿宋_GB2312" w:hAnsi="仿宋_GB2312" w:eastAsia="仿宋_GB2312" w:cs="仿宋_GB2312"/>
          <w:sz w:val="32"/>
          <w:szCs w:val="32"/>
        </w:rPr>
        <w:t>财</w:t>
      </w:r>
      <w:r>
        <w:rPr>
          <w:rFonts w:hint="eastAsia" w:ascii="仿宋_GB2312" w:hAnsi="仿宋_GB2312" w:eastAsia="仿宋_GB2312" w:cs="仿宋_GB2312"/>
          <w:sz w:val="32"/>
          <w:szCs w:val="32"/>
          <w:lang w:eastAsia="zh-CN"/>
        </w:rPr>
        <w:t>农</w:t>
      </w:r>
      <w:r>
        <w:rPr>
          <w:rFonts w:hint="eastAsia" w:ascii="仿宋_GB2312" w:hAnsi="仿宋_GB2312" w:eastAsia="仿宋_GB2312" w:cs="仿宋_GB2312"/>
          <w:sz w:val="32"/>
          <w:szCs w:val="32"/>
          <w:lang w:val="en-US" w:eastAsia="zh-CN"/>
        </w:rPr>
        <w:t>指</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号文</w:t>
      </w:r>
      <w:r>
        <w:rPr>
          <w:rFonts w:hint="eastAsia" w:ascii="仿宋_GB2312" w:hAnsi="仿宋_GB2312" w:eastAsia="仿宋_GB2312" w:cs="仿宋_GB2312"/>
          <w:sz w:val="32"/>
          <w:szCs w:val="32"/>
          <w:lang w:eastAsia="zh-CN"/>
        </w:rPr>
        <w:t>件</w:t>
      </w:r>
      <w:r>
        <w:rPr>
          <w:rFonts w:hint="eastAsia" w:ascii="仿宋_GB2312" w:hAnsi="仿宋_GB2312" w:eastAsia="仿宋_GB2312" w:cs="仿宋_GB2312"/>
          <w:sz w:val="32"/>
          <w:szCs w:val="32"/>
        </w:rPr>
        <w:t>精</w:t>
      </w:r>
      <w:r>
        <w:rPr>
          <w:rFonts w:hint="eastAsia" w:ascii="仿宋_GB2312" w:hAnsi="仿宋_GB2312" w:eastAsia="仿宋_GB2312" w:cs="仿宋_GB2312"/>
          <w:sz w:val="32"/>
          <w:szCs w:val="32"/>
          <w:lang w:val="en-US" w:eastAsia="zh-CN"/>
        </w:rPr>
        <w:t>神，现将2026年中央专项彩票公益金支持革命老区乡村振兴项目资金4000万元下达给你们，</w:t>
      </w:r>
      <w:r>
        <w:rPr>
          <w:rFonts w:hint="eastAsia" w:ascii="仿宋_GB2312" w:hAnsi="仿宋_GB2312" w:eastAsia="仿宋_GB2312" w:cs="仿宋_GB2312"/>
          <w:sz w:val="32"/>
          <w:szCs w:val="32"/>
        </w:rPr>
        <w:t>请严格按照《中央专项彩票公益金支持革命老区乡村振兴项目资金管理办法》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财农〔2024〕23号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和《福建省农业农村厅 福建省财政厅关于进一步规范中央专项彩票公益金支持老区苏区乡村振兴项目建设和管理工作的通知》（闽乡振对口函</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的要求管理使用。要加强资金监管，及时完成公示公告程序，提升资金使用透明度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并按照规定的用途和范围分配使用，加强项目建设日常管理，</w:t>
      </w:r>
      <w:r>
        <w:rPr>
          <w:rFonts w:hint="eastAsia" w:ascii="仿宋_GB2312" w:hAnsi="仿宋_GB2312" w:eastAsia="仿宋_GB2312" w:cs="仿宋_GB2312"/>
          <w:sz w:val="32"/>
          <w:szCs w:val="32"/>
        </w:rPr>
        <w:t>及时拨付项目资金，切实发挥资金使用效益，</w:t>
      </w:r>
      <w:r>
        <w:rPr>
          <w:rFonts w:hint="eastAsia" w:ascii="仿宋_GB2312" w:hAnsi="仿宋_GB2312" w:eastAsia="仿宋_GB2312" w:cs="仿宋_GB2312"/>
          <w:color w:val="auto"/>
          <w:sz w:val="32"/>
          <w:szCs w:val="32"/>
        </w:rPr>
        <w:t>确保专款专用，任何部门和单位不得截留、挤占和挪用，专项资金的支付按照财政国库管理制度有关规定执行，同时做好绩效跟踪和管理，切实提高财政资金使用效益。</w:t>
      </w:r>
    </w:p>
    <w:p w14:paraId="0FB815A2">
      <w:pPr>
        <w:keepNext w:val="0"/>
        <w:keepLines w:val="0"/>
        <w:pageBreakBefore w:val="0"/>
        <w:widowControl w:val="0"/>
        <w:kinsoku/>
        <w:wordWrap/>
        <w:overflowPunct/>
        <w:topLinePunct w:val="0"/>
        <w:autoSpaceDE/>
        <w:autoSpaceDN/>
        <w:bidi w:val="0"/>
        <w:adjustRightInd w:val="0"/>
        <w:snapToGrid w:val="0"/>
        <w:spacing w:after="0" w:line="560" w:lineRule="exact"/>
        <w:ind w:left="1280" w:leftChars="0" w:right="0" w:rightChars="0" w:hanging="1280" w:hangingChars="400"/>
        <w:jc w:val="both"/>
        <w:textAlignment w:val="auto"/>
        <w:outlineLvl w:val="9"/>
        <w:rPr>
          <w:rFonts w:hint="eastAsia" w:ascii="仿宋_GB2312" w:hAnsi="仿宋_GB2312" w:eastAsia="仿宋_GB2312" w:cs="仿宋_GB2312"/>
          <w:color w:val="auto"/>
          <w:sz w:val="32"/>
          <w:szCs w:val="32"/>
        </w:rPr>
      </w:pPr>
    </w:p>
    <w:p w14:paraId="512DC457">
      <w:pPr>
        <w:keepNext w:val="0"/>
        <w:keepLines w:val="0"/>
        <w:pageBreakBefore w:val="0"/>
        <w:widowControl w:val="0"/>
        <w:kinsoku/>
        <w:wordWrap/>
        <w:overflowPunct/>
        <w:topLinePunct w:val="0"/>
        <w:autoSpaceDE/>
        <w:autoSpaceDN/>
        <w:bidi w:val="0"/>
        <w:adjustRightInd w:val="0"/>
        <w:snapToGrid w:val="0"/>
        <w:spacing w:after="0" w:line="560" w:lineRule="exact"/>
        <w:ind w:left="1918" w:leftChars="290" w:right="0" w:rightChars="0" w:hanging="1280" w:hangingChars="4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Tahoma" w:eastAsia="仿宋_GB2312" w:cs="仿宋_GB2312"/>
          <w:color w:val="auto"/>
          <w:sz w:val="32"/>
          <w:szCs w:val="32"/>
        </w:rPr>
        <w:t>附件</w:t>
      </w:r>
      <w:r>
        <w:rPr>
          <w:rFonts w:hint="eastAsia" w:ascii="仿宋_GB2312" w:hAnsi="Times New Roman" w:eastAsia="仿宋_GB2312" w:cs="Times New Roman"/>
          <w:sz w:val="32"/>
          <w:szCs w:val="32"/>
        </w:rPr>
        <w:t>：1.</w:t>
      </w:r>
      <w:r>
        <w:rPr>
          <w:rFonts w:hint="eastAsia" w:ascii="仿宋_GB2312" w:hAnsi="仿宋_GB2312" w:eastAsia="仿宋_GB2312" w:cs="仿宋_GB2312"/>
          <w:sz w:val="32"/>
          <w:szCs w:val="32"/>
          <w:lang w:val="en-US" w:eastAsia="zh-CN"/>
        </w:rPr>
        <w:t>2026年度中央专项彩票公益金支持革命老区乡村振兴项目资金分配表</w:t>
      </w:r>
    </w:p>
    <w:p w14:paraId="1531238B">
      <w:pPr>
        <w:keepNext w:val="0"/>
        <w:keepLines w:val="0"/>
        <w:pageBreakBefore w:val="0"/>
        <w:widowControl w:val="0"/>
        <w:kinsoku/>
        <w:wordWrap/>
        <w:overflowPunct/>
        <w:topLinePunct w:val="0"/>
        <w:autoSpaceDE/>
        <w:autoSpaceDN/>
        <w:bidi w:val="0"/>
        <w:adjustRightInd w:val="0"/>
        <w:snapToGrid w:val="0"/>
        <w:spacing w:after="0" w:line="560" w:lineRule="exact"/>
        <w:ind w:left="1915" w:leftChars="725" w:right="0" w:rightChars="0" w:hanging="320" w:hangingChars="100"/>
        <w:jc w:val="both"/>
        <w:textAlignment w:val="auto"/>
        <w:outlineLvl w:val="9"/>
        <w:rPr>
          <w:rFonts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w:t>
      </w:r>
      <w:r>
        <w:rPr>
          <w:rFonts w:hint="eastAsia" w:ascii="仿宋_GB2312" w:hAnsi="仿宋_GB2312" w:eastAsia="仿宋_GB2312" w:cs="仿宋_GB2312"/>
          <w:sz w:val="32"/>
          <w:szCs w:val="32"/>
          <w:lang w:val="en-US" w:eastAsia="zh-CN"/>
        </w:rPr>
        <w:t>2026年度中央专项彩票公益金支持革命老区乡村振兴项目资金</w:t>
      </w:r>
      <w:r>
        <w:rPr>
          <w:rFonts w:hint="eastAsia" w:ascii="仿宋_GB2312" w:hAnsi="Times New Roman" w:eastAsia="仿宋_GB2312" w:cs="Times New Roman"/>
          <w:sz w:val="32"/>
          <w:szCs w:val="32"/>
        </w:rPr>
        <w:t>绩效目标表</w:t>
      </w:r>
    </w:p>
    <w:p w14:paraId="5915BEE6">
      <w:pPr>
        <w:keepNext w:val="0"/>
        <w:keepLines w:val="0"/>
        <w:pageBreakBefore w:val="0"/>
        <w:widowControl/>
        <w:kinsoku/>
        <w:wordWrap/>
        <w:overflowPunct/>
        <w:topLinePunct w:val="0"/>
        <w:autoSpaceDE/>
        <w:autoSpaceDN/>
        <w:bidi w:val="0"/>
        <w:adjustRightInd w:val="0"/>
        <w:snapToGrid w:val="0"/>
        <w:spacing w:after="0" w:line="600" w:lineRule="exact"/>
        <w:ind w:right="0" w:rightChars="0"/>
        <w:jc w:val="both"/>
        <w:textAlignment w:val="auto"/>
        <w:outlineLvl w:val="9"/>
        <w:rPr>
          <w:rFonts w:ascii="仿宋_GB2312" w:hAnsi="Times New Roman" w:eastAsia="仿宋_GB2312" w:cs="Times New Roman"/>
          <w:sz w:val="32"/>
          <w:szCs w:val="32"/>
        </w:rPr>
      </w:pPr>
    </w:p>
    <w:p w14:paraId="7932D879">
      <w:pPr>
        <w:keepNext w:val="0"/>
        <w:keepLines w:val="0"/>
        <w:pageBreakBefore w:val="0"/>
        <w:widowControl/>
        <w:kinsoku/>
        <w:wordWrap/>
        <w:overflowPunct/>
        <w:topLinePunct w:val="0"/>
        <w:autoSpaceDE/>
        <w:autoSpaceDN/>
        <w:bidi w:val="0"/>
        <w:adjustRightInd w:val="0"/>
        <w:snapToGrid w:val="0"/>
        <w:spacing w:after="0" w:line="600" w:lineRule="exact"/>
        <w:ind w:right="0" w:rightChars="0"/>
        <w:jc w:val="both"/>
        <w:textAlignment w:val="auto"/>
        <w:outlineLvl w:val="9"/>
        <w:rPr>
          <w:rFonts w:ascii="Times New Roman" w:hAnsi="Times New Roman" w:eastAsia="仿宋_GB2312" w:cs="Times New Roman"/>
          <w:sz w:val="32"/>
          <w:szCs w:val="32"/>
        </w:rPr>
      </w:pPr>
    </w:p>
    <w:p w14:paraId="2181DEC0">
      <w:pPr>
        <w:keepNext w:val="0"/>
        <w:keepLines w:val="0"/>
        <w:pageBreakBefore w:val="0"/>
        <w:widowControl/>
        <w:tabs>
          <w:tab w:val="left" w:pos="7920"/>
        </w:tabs>
        <w:kinsoku/>
        <w:wordWrap/>
        <w:overflowPunct/>
        <w:topLinePunct w:val="0"/>
        <w:autoSpaceDE/>
        <w:autoSpaceDN/>
        <w:bidi w:val="0"/>
        <w:adjustRightInd w:val="0"/>
        <w:snapToGrid w:val="0"/>
        <w:spacing w:after="0" w:line="600" w:lineRule="exact"/>
        <w:ind w:right="0" w:rightChars="0" w:firstLine="640" w:firstLineChars="200"/>
        <w:jc w:val="both"/>
        <w:textAlignment w:val="auto"/>
        <w:outlineLvl w:val="9"/>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安溪县农业农村局</w:t>
      </w:r>
      <w:r>
        <w:rPr>
          <w:rFonts w:hint="eastAsia" w:ascii="仿宋_GB2312" w:hAnsi="Times New Roman" w:eastAsia="仿宋_GB2312" w:cs="Times New Roman"/>
          <w:sz w:val="32"/>
          <w:szCs w:val="32"/>
          <w:lang w:val="en-US" w:eastAsia="zh-CN"/>
        </w:rPr>
        <w:t xml:space="preserve">                  安溪县财政局</w:t>
      </w:r>
    </w:p>
    <w:p w14:paraId="69C4A3EF">
      <w:pPr>
        <w:keepNext w:val="0"/>
        <w:keepLines w:val="0"/>
        <w:pageBreakBefore w:val="0"/>
        <w:widowControl/>
        <w:kinsoku/>
        <w:wordWrap/>
        <w:overflowPunct/>
        <w:topLinePunct w:val="0"/>
        <w:autoSpaceDE/>
        <w:autoSpaceDN/>
        <w:bidi w:val="0"/>
        <w:adjustRightInd w:val="0"/>
        <w:snapToGrid w:val="0"/>
        <w:spacing w:after="0" w:line="600" w:lineRule="exact"/>
        <w:ind w:right="0" w:rightChars="0" w:firstLine="5817" w:firstLineChars="1818"/>
        <w:jc w:val="both"/>
        <w:textAlignment w:val="auto"/>
        <w:outlineLvl w:val="9"/>
        <w:rPr>
          <w:rFonts w:ascii="仿宋_GB2312" w:hAnsi="Times New Roman" w:eastAsia="仿宋_GB2312" w:cs="Times New Roman"/>
          <w:sz w:val="32"/>
          <w:szCs w:val="32"/>
        </w:rPr>
      </w:pPr>
      <w:r>
        <w:rPr>
          <w:rFonts w:ascii="仿宋_GB2312" w:hAnsi="Times New Roman" w:eastAsia="仿宋_GB2312" w:cs="Times New Roman"/>
          <w:sz w:val="32"/>
          <w:szCs w:val="32"/>
        </w:rPr>
        <w:t>202</w:t>
      </w: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8</w:t>
      </w:r>
      <w:r>
        <w:rPr>
          <w:rFonts w:hint="eastAsia" w:ascii="仿宋_GB2312" w:hAnsi="Times New Roman" w:eastAsia="仿宋_GB2312" w:cs="Times New Roman"/>
          <w:sz w:val="32"/>
          <w:szCs w:val="32"/>
        </w:rPr>
        <w:t>日</w:t>
      </w:r>
    </w:p>
    <w:p w14:paraId="744BB63C">
      <w:pPr>
        <w:keepNext w:val="0"/>
        <w:keepLines w:val="0"/>
        <w:pageBreakBefore w:val="0"/>
        <w:widowControl/>
        <w:kinsoku/>
        <w:wordWrap/>
        <w:overflowPunct/>
        <w:topLinePunct w:val="0"/>
        <w:autoSpaceDE/>
        <w:autoSpaceDN/>
        <w:bidi w:val="0"/>
        <w:adjustRightInd w:val="0"/>
        <w:snapToGrid w:val="0"/>
        <w:spacing w:after="0" w:line="600" w:lineRule="exact"/>
        <w:ind w:right="0" w:rightChars="0"/>
        <w:textAlignment w:val="auto"/>
        <w:outlineLvl w:val="9"/>
        <w:rPr>
          <w:rFonts w:hint="eastAsia" w:ascii="Times New Roman" w:hAnsi="Times New Roman" w:eastAsia="仿宋_GB2312" w:cs="Times New Roman"/>
          <w:sz w:val="32"/>
          <w:szCs w:val="32"/>
        </w:rPr>
      </w:pPr>
    </w:p>
    <w:p w14:paraId="3B7089D8">
      <w:pPr>
        <w:keepNext w:val="0"/>
        <w:keepLines w:val="0"/>
        <w:pageBreakBefore w:val="0"/>
        <w:widowControl/>
        <w:kinsoku/>
        <w:wordWrap/>
        <w:overflowPunct/>
        <w:topLinePunct w:val="0"/>
        <w:autoSpaceDE/>
        <w:autoSpaceDN/>
        <w:bidi w:val="0"/>
        <w:adjustRightInd w:val="0"/>
        <w:snapToGrid w:val="0"/>
        <w:spacing w:after="0" w:line="600" w:lineRule="exact"/>
        <w:ind w:right="0" w:rightChars="0"/>
        <w:textAlignment w:val="auto"/>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（此件公开发布）</w:t>
      </w:r>
    </w:p>
    <w:p w14:paraId="375ABB70">
      <w:pPr>
        <w:keepNext w:val="0"/>
        <w:keepLines w:val="0"/>
        <w:pageBreakBefore w:val="0"/>
        <w:widowControl/>
        <w:kinsoku/>
        <w:wordWrap/>
        <w:overflowPunct/>
        <w:topLinePunct w:val="0"/>
        <w:autoSpaceDE/>
        <w:autoSpaceDN/>
        <w:bidi w:val="0"/>
        <w:spacing w:before="69" w:line="560" w:lineRule="exact"/>
        <w:rPr>
          <w:rFonts w:hint="eastAsia" w:ascii="黑体" w:hAnsi="黑体" w:eastAsia="黑体" w:cs="黑体"/>
          <w:spacing w:val="-4"/>
          <w:sz w:val="32"/>
          <w:szCs w:val="32"/>
        </w:rPr>
      </w:pPr>
    </w:p>
    <w:p w14:paraId="7F471B4E">
      <w:pPr>
        <w:keepNext w:val="0"/>
        <w:keepLines w:val="0"/>
        <w:pageBreakBefore w:val="0"/>
        <w:widowControl/>
        <w:kinsoku/>
        <w:wordWrap/>
        <w:overflowPunct/>
        <w:topLinePunct w:val="0"/>
        <w:autoSpaceDE/>
        <w:autoSpaceDN/>
        <w:bidi w:val="0"/>
        <w:spacing w:before="69" w:line="560" w:lineRule="exact"/>
        <w:rPr>
          <w:rFonts w:hint="eastAsia" w:ascii="黑体" w:hAnsi="黑体" w:eastAsia="黑体" w:cs="黑体"/>
          <w:spacing w:val="-4"/>
          <w:sz w:val="32"/>
          <w:szCs w:val="32"/>
        </w:rPr>
      </w:pPr>
    </w:p>
    <w:p w14:paraId="05DEF6CB">
      <w:pPr>
        <w:pStyle w:val="2"/>
        <w:rPr>
          <w:rFonts w:hint="eastAsia" w:ascii="黑体" w:hAnsi="黑体" w:eastAsia="黑体" w:cs="黑体"/>
          <w:spacing w:val="-4"/>
          <w:sz w:val="32"/>
          <w:szCs w:val="32"/>
        </w:rPr>
      </w:pPr>
    </w:p>
    <w:p w14:paraId="0942F5A9">
      <w:pPr>
        <w:pStyle w:val="2"/>
        <w:rPr>
          <w:rFonts w:hint="eastAsia" w:ascii="黑体" w:hAnsi="黑体" w:eastAsia="黑体" w:cs="黑体"/>
          <w:spacing w:val="-4"/>
          <w:sz w:val="32"/>
          <w:szCs w:val="32"/>
        </w:rPr>
      </w:pPr>
    </w:p>
    <w:p w14:paraId="485E812D">
      <w:pPr>
        <w:spacing w:before="69" w:line="224" w:lineRule="auto"/>
        <w:rPr>
          <w:rFonts w:ascii="黑体" w:hAnsi="黑体" w:eastAsia="黑体" w:cs="黑体"/>
          <w:sz w:val="32"/>
          <w:szCs w:val="32"/>
        </w:rPr>
      </w:pPr>
      <w:r>
        <w:rPr>
          <w:rFonts w:hint="eastAsia" w:ascii="黑体" w:hAnsi="黑体" w:eastAsia="黑体" w:cs="黑体"/>
          <w:spacing w:val="-4"/>
          <w:sz w:val="32"/>
          <w:szCs w:val="32"/>
        </w:rPr>
        <w:t>附件</w:t>
      </w:r>
      <w:r>
        <w:rPr>
          <w:rFonts w:ascii="黑体" w:hAnsi="黑体" w:eastAsia="黑体" w:cs="黑体"/>
          <w:spacing w:val="-4"/>
          <w:sz w:val="32"/>
          <w:szCs w:val="32"/>
        </w:rPr>
        <w:t>1</w:t>
      </w:r>
    </w:p>
    <w:p w14:paraId="441FCCED">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pacing w:val="-4"/>
          <w:sz w:val="44"/>
          <w:szCs w:val="44"/>
          <w:lang w:val="en-US" w:eastAsia="zh-CN"/>
        </w:rPr>
      </w:pPr>
      <w:r>
        <w:rPr>
          <w:rFonts w:hint="eastAsia" w:ascii="方正小标宋简体" w:hAnsi="方正小标宋简体" w:eastAsia="方正小标宋简体" w:cs="方正小标宋简体"/>
          <w:spacing w:val="-4"/>
          <w:sz w:val="44"/>
          <w:szCs w:val="44"/>
          <w:lang w:val="en-US" w:eastAsia="zh-CN"/>
        </w:rPr>
        <w:t>2026年度中央专项彩票公益金支持革命老区</w:t>
      </w:r>
    </w:p>
    <w:p w14:paraId="0377B06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pacing w:val="-4"/>
          <w:sz w:val="44"/>
          <w:szCs w:val="44"/>
          <w:lang w:val="en-US" w:eastAsia="zh-CN"/>
        </w:rPr>
      </w:pPr>
      <w:r>
        <w:rPr>
          <w:rFonts w:hint="eastAsia" w:ascii="方正小标宋简体" w:hAnsi="方正小标宋简体" w:eastAsia="方正小标宋简体" w:cs="方正小标宋简体"/>
          <w:spacing w:val="-4"/>
          <w:sz w:val="44"/>
          <w:szCs w:val="44"/>
          <w:lang w:val="en-US" w:eastAsia="zh-CN"/>
        </w:rPr>
        <w:t>乡村振兴项目资金分配表</w:t>
      </w:r>
    </w:p>
    <w:p w14:paraId="3E7C149B">
      <w:pPr>
        <w:pStyle w:val="2"/>
        <w:rPr>
          <w:rFonts w:hint="eastAsia"/>
        </w:rPr>
      </w:pPr>
    </w:p>
    <w:tbl>
      <w:tblPr>
        <w:tblStyle w:val="8"/>
        <w:tblW w:w="9635" w:type="dxa"/>
        <w:tblInd w:w="-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4560"/>
        <w:gridCol w:w="1988"/>
        <w:gridCol w:w="1412"/>
        <w:gridCol w:w="871"/>
      </w:tblGrid>
      <w:tr w14:paraId="3F9D2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804" w:type="dxa"/>
            <w:vAlign w:val="center"/>
          </w:tcPr>
          <w:p w14:paraId="6156F729">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序号</w:t>
            </w:r>
          </w:p>
        </w:tc>
        <w:tc>
          <w:tcPr>
            <w:tcW w:w="4560" w:type="dxa"/>
            <w:vAlign w:val="center"/>
          </w:tcPr>
          <w:p w14:paraId="560F930F">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项目名称</w:t>
            </w:r>
          </w:p>
        </w:tc>
        <w:tc>
          <w:tcPr>
            <w:tcW w:w="1988" w:type="dxa"/>
            <w:vAlign w:val="center"/>
          </w:tcPr>
          <w:p w14:paraId="4FBE26FB">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责任单位</w:t>
            </w:r>
          </w:p>
        </w:tc>
        <w:tc>
          <w:tcPr>
            <w:tcW w:w="1412" w:type="dxa"/>
            <w:vAlign w:val="center"/>
          </w:tcPr>
          <w:p w14:paraId="291FEA6C">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资金额度（万元）</w:t>
            </w:r>
          </w:p>
        </w:tc>
        <w:tc>
          <w:tcPr>
            <w:tcW w:w="871" w:type="dxa"/>
            <w:vAlign w:val="center"/>
          </w:tcPr>
          <w:p w14:paraId="36CD1385">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宋体" w:hAnsi="宋体" w:eastAsia="宋体" w:cs="宋体"/>
                <w:b/>
                <w:bCs/>
                <w:sz w:val="32"/>
                <w:szCs w:val="32"/>
                <w:vertAlign w:val="baseline"/>
                <w:lang w:val="en-US" w:eastAsia="zh-CN"/>
              </w:rPr>
            </w:pPr>
            <w:r>
              <w:rPr>
                <w:rFonts w:hint="eastAsia" w:ascii="宋体" w:hAnsi="宋体" w:eastAsia="宋体" w:cs="宋体"/>
                <w:b/>
                <w:bCs/>
                <w:sz w:val="32"/>
                <w:szCs w:val="32"/>
                <w:vertAlign w:val="baseline"/>
                <w:lang w:val="en-US" w:eastAsia="zh-CN"/>
              </w:rPr>
              <w:t>备注</w:t>
            </w:r>
          </w:p>
        </w:tc>
      </w:tr>
      <w:tr w14:paraId="7E64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04" w:type="dxa"/>
            <w:vAlign w:val="center"/>
          </w:tcPr>
          <w:p w14:paraId="389193ED">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w:t>
            </w:r>
          </w:p>
        </w:tc>
        <w:tc>
          <w:tcPr>
            <w:tcW w:w="4560" w:type="dxa"/>
            <w:vAlign w:val="center"/>
          </w:tcPr>
          <w:p w14:paraId="45E2E83E">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default" w:ascii="仿宋_GB2312" w:hAnsi="仿宋_GB2312" w:eastAsia="仿宋_GB2312" w:cs="仿宋_GB2312"/>
                <w:sz w:val="32"/>
                <w:szCs w:val="32"/>
                <w:vertAlign w:val="baseline"/>
                <w:lang w:val="en-US" w:eastAsia="zh-CN"/>
              </w:rPr>
            </w:pPr>
            <w:r>
              <w:rPr>
                <w:rFonts w:hint="default" w:ascii="仿宋_GB2312" w:hAnsi="仿宋_GB2312" w:eastAsia="仿宋_GB2312" w:cs="仿宋_GB2312"/>
                <w:sz w:val="32"/>
                <w:szCs w:val="32"/>
                <w:vertAlign w:val="baseline"/>
                <w:lang w:val="en-US" w:eastAsia="zh-CN"/>
              </w:rPr>
              <w:t>谷美花卉农文旅融合发展项目</w:t>
            </w:r>
          </w:p>
        </w:tc>
        <w:tc>
          <w:tcPr>
            <w:tcW w:w="1988" w:type="dxa"/>
            <w:vAlign w:val="center"/>
          </w:tcPr>
          <w:p w14:paraId="4D56C055">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金谷镇</w:t>
            </w:r>
          </w:p>
        </w:tc>
        <w:tc>
          <w:tcPr>
            <w:tcW w:w="1412" w:type="dxa"/>
            <w:vAlign w:val="center"/>
          </w:tcPr>
          <w:p w14:paraId="581AFF7F">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150</w:t>
            </w:r>
          </w:p>
        </w:tc>
        <w:tc>
          <w:tcPr>
            <w:tcW w:w="871" w:type="dxa"/>
            <w:vAlign w:val="center"/>
          </w:tcPr>
          <w:p w14:paraId="30064201">
            <w:pPr>
              <w:keepNext w:val="0"/>
              <w:keepLines w:val="0"/>
              <w:pageBreakBefore w:val="0"/>
              <w:widowControl/>
              <w:kinsoku/>
              <w:wordWrap/>
              <w:overflowPunct/>
              <w:topLinePunct w:val="0"/>
              <w:autoSpaceDE/>
              <w:autoSpaceDN/>
              <w:bidi w:val="0"/>
              <w:adjustRightInd w:val="0"/>
              <w:snapToGrid w:val="0"/>
              <w:spacing w:after="0" w:line="360" w:lineRule="exact"/>
              <w:jc w:val="left"/>
              <w:textAlignment w:val="auto"/>
              <w:rPr>
                <w:rFonts w:hint="eastAsia" w:ascii="仿宋_GB2312" w:hAnsi="仿宋_GB2312" w:eastAsia="仿宋_GB2312" w:cs="仿宋_GB2312"/>
                <w:sz w:val="32"/>
                <w:szCs w:val="32"/>
                <w:vertAlign w:val="baseline"/>
              </w:rPr>
            </w:pPr>
          </w:p>
        </w:tc>
      </w:tr>
      <w:tr w14:paraId="42D0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04" w:type="dxa"/>
            <w:vAlign w:val="center"/>
          </w:tcPr>
          <w:p w14:paraId="4247D1EE">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w:t>
            </w:r>
          </w:p>
        </w:tc>
        <w:tc>
          <w:tcPr>
            <w:tcW w:w="4560" w:type="dxa"/>
            <w:vAlign w:val="center"/>
          </w:tcPr>
          <w:p w14:paraId="5BCB38A1">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田园水系与孝道文化项目</w:t>
            </w:r>
          </w:p>
        </w:tc>
        <w:tc>
          <w:tcPr>
            <w:tcW w:w="1988" w:type="dxa"/>
            <w:vAlign w:val="center"/>
          </w:tcPr>
          <w:p w14:paraId="208AAEDC">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金谷镇</w:t>
            </w:r>
          </w:p>
        </w:tc>
        <w:tc>
          <w:tcPr>
            <w:tcW w:w="1412" w:type="dxa"/>
            <w:vAlign w:val="center"/>
          </w:tcPr>
          <w:p w14:paraId="358EB88B">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770</w:t>
            </w:r>
          </w:p>
        </w:tc>
        <w:tc>
          <w:tcPr>
            <w:tcW w:w="871" w:type="dxa"/>
            <w:vAlign w:val="center"/>
          </w:tcPr>
          <w:p w14:paraId="2C59CE95">
            <w:pPr>
              <w:keepNext w:val="0"/>
              <w:keepLines w:val="0"/>
              <w:pageBreakBefore w:val="0"/>
              <w:widowControl/>
              <w:kinsoku/>
              <w:wordWrap/>
              <w:overflowPunct/>
              <w:topLinePunct w:val="0"/>
              <w:autoSpaceDE/>
              <w:autoSpaceDN/>
              <w:bidi w:val="0"/>
              <w:adjustRightInd w:val="0"/>
              <w:snapToGrid w:val="0"/>
              <w:spacing w:after="0" w:line="360" w:lineRule="exact"/>
              <w:jc w:val="left"/>
              <w:textAlignment w:val="auto"/>
              <w:rPr>
                <w:rFonts w:hint="eastAsia" w:ascii="仿宋_GB2312" w:hAnsi="仿宋_GB2312" w:eastAsia="仿宋_GB2312" w:cs="仿宋_GB2312"/>
                <w:sz w:val="32"/>
                <w:szCs w:val="32"/>
                <w:vertAlign w:val="baseline"/>
              </w:rPr>
            </w:pPr>
          </w:p>
        </w:tc>
      </w:tr>
      <w:tr w14:paraId="004E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04" w:type="dxa"/>
            <w:vAlign w:val="center"/>
          </w:tcPr>
          <w:p w14:paraId="1970DE8E">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3</w:t>
            </w:r>
          </w:p>
        </w:tc>
        <w:tc>
          <w:tcPr>
            <w:tcW w:w="4560" w:type="dxa"/>
            <w:vAlign w:val="center"/>
          </w:tcPr>
          <w:p w14:paraId="206CE823">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default" w:ascii="仿宋_GB2312" w:hAnsi="仿宋_GB2312" w:eastAsia="仿宋_GB2312" w:cs="仿宋_GB2312"/>
                <w:sz w:val="32"/>
                <w:szCs w:val="32"/>
                <w:vertAlign w:val="baseline"/>
                <w:lang w:val="en-US" w:eastAsia="zh-CN"/>
              </w:rPr>
            </w:pPr>
            <w:r>
              <w:rPr>
                <w:rFonts w:hint="default" w:ascii="仿宋_GB2312" w:hAnsi="仿宋_GB2312" w:eastAsia="仿宋_GB2312" w:cs="仿宋_GB2312"/>
                <w:sz w:val="32"/>
                <w:szCs w:val="32"/>
                <w:vertAlign w:val="baseline"/>
                <w:lang w:val="en-US" w:eastAsia="zh-CN"/>
              </w:rPr>
              <w:t>红色文化综合体项目</w:t>
            </w:r>
          </w:p>
        </w:tc>
        <w:tc>
          <w:tcPr>
            <w:tcW w:w="1988" w:type="dxa"/>
            <w:vAlign w:val="center"/>
          </w:tcPr>
          <w:p w14:paraId="39C1B8A5">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金谷镇</w:t>
            </w:r>
          </w:p>
        </w:tc>
        <w:tc>
          <w:tcPr>
            <w:tcW w:w="1412" w:type="dxa"/>
            <w:vAlign w:val="center"/>
          </w:tcPr>
          <w:p w14:paraId="2A6856C8">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1000</w:t>
            </w:r>
          </w:p>
        </w:tc>
        <w:tc>
          <w:tcPr>
            <w:tcW w:w="871" w:type="dxa"/>
            <w:vAlign w:val="center"/>
          </w:tcPr>
          <w:p w14:paraId="08B1DCB5">
            <w:pPr>
              <w:keepNext w:val="0"/>
              <w:keepLines w:val="0"/>
              <w:pageBreakBefore w:val="0"/>
              <w:widowControl/>
              <w:kinsoku/>
              <w:wordWrap/>
              <w:overflowPunct/>
              <w:topLinePunct w:val="0"/>
              <w:autoSpaceDE/>
              <w:autoSpaceDN/>
              <w:bidi w:val="0"/>
              <w:adjustRightInd w:val="0"/>
              <w:snapToGrid w:val="0"/>
              <w:spacing w:after="0" w:line="360" w:lineRule="exact"/>
              <w:jc w:val="left"/>
              <w:textAlignment w:val="auto"/>
              <w:rPr>
                <w:rFonts w:hint="eastAsia" w:ascii="仿宋_GB2312" w:hAnsi="仿宋_GB2312" w:eastAsia="仿宋_GB2312" w:cs="仿宋_GB2312"/>
                <w:sz w:val="32"/>
                <w:szCs w:val="32"/>
                <w:vertAlign w:val="baseline"/>
                <w:lang w:eastAsia="zh-CN"/>
              </w:rPr>
            </w:pPr>
          </w:p>
        </w:tc>
      </w:tr>
      <w:tr w14:paraId="0902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04" w:type="dxa"/>
            <w:vAlign w:val="center"/>
          </w:tcPr>
          <w:p w14:paraId="6C0A4D21">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w:t>
            </w:r>
          </w:p>
        </w:tc>
        <w:tc>
          <w:tcPr>
            <w:tcW w:w="4560" w:type="dxa"/>
            <w:vAlign w:val="center"/>
          </w:tcPr>
          <w:p w14:paraId="553D4CF9">
            <w:pPr>
              <w:keepNext w:val="0"/>
              <w:keepLines w:val="0"/>
              <w:pageBreakBefore w:val="0"/>
              <w:widowControl/>
              <w:kinsoku/>
              <w:wordWrap/>
              <w:overflowPunct/>
              <w:topLinePunct w:val="0"/>
              <w:autoSpaceDE/>
              <w:autoSpaceDN/>
              <w:bidi w:val="0"/>
              <w:adjustRightInd w:val="0"/>
              <w:snapToGrid w:val="0"/>
              <w:spacing w:after="0" w:line="560" w:lineRule="exact"/>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金谷溪岸农文旅融合发展项目</w:t>
            </w:r>
          </w:p>
        </w:tc>
        <w:tc>
          <w:tcPr>
            <w:tcW w:w="1988" w:type="dxa"/>
            <w:vAlign w:val="center"/>
          </w:tcPr>
          <w:p w14:paraId="51697CBA">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金谷镇</w:t>
            </w:r>
          </w:p>
        </w:tc>
        <w:tc>
          <w:tcPr>
            <w:tcW w:w="1412" w:type="dxa"/>
            <w:vAlign w:val="center"/>
          </w:tcPr>
          <w:p w14:paraId="46BFCC04">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1830</w:t>
            </w:r>
          </w:p>
        </w:tc>
        <w:tc>
          <w:tcPr>
            <w:tcW w:w="871" w:type="dxa"/>
            <w:vAlign w:val="center"/>
          </w:tcPr>
          <w:p w14:paraId="78E636B2">
            <w:pPr>
              <w:keepNext w:val="0"/>
              <w:keepLines w:val="0"/>
              <w:pageBreakBefore w:val="0"/>
              <w:widowControl/>
              <w:kinsoku/>
              <w:wordWrap/>
              <w:overflowPunct/>
              <w:topLinePunct w:val="0"/>
              <w:autoSpaceDE/>
              <w:autoSpaceDN/>
              <w:bidi w:val="0"/>
              <w:adjustRightInd w:val="0"/>
              <w:snapToGrid w:val="0"/>
              <w:spacing w:after="0" w:line="360" w:lineRule="exact"/>
              <w:jc w:val="left"/>
              <w:textAlignment w:val="auto"/>
              <w:rPr>
                <w:rFonts w:hint="eastAsia" w:ascii="仿宋_GB2312" w:hAnsi="仿宋_GB2312" w:eastAsia="仿宋_GB2312" w:cs="仿宋_GB2312"/>
                <w:sz w:val="32"/>
                <w:szCs w:val="32"/>
                <w:vertAlign w:val="baseline"/>
                <w:lang w:eastAsia="zh-CN"/>
              </w:rPr>
            </w:pPr>
          </w:p>
        </w:tc>
      </w:tr>
      <w:tr w14:paraId="60CC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04" w:type="dxa"/>
            <w:vAlign w:val="center"/>
          </w:tcPr>
          <w:p w14:paraId="2BBF2853">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5</w:t>
            </w:r>
          </w:p>
        </w:tc>
        <w:tc>
          <w:tcPr>
            <w:tcW w:w="4560" w:type="dxa"/>
            <w:vAlign w:val="center"/>
          </w:tcPr>
          <w:p w14:paraId="69336220">
            <w:pPr>
              <w:keepNext w:val="0"/>
              <w:keepLines w:val="0"/>
              <w:pageBreakBefore w:val="0"/>
              <w:widowControl/>
              <w:kinsoku/>
              <w:wordWrap/>
              <w:overflowPunct/>
              <w:topLinePunct w:val="0"/>
              <w:autoSpaceDE/>
              <w:autoSpaceDN/>
              <w:bidi w:val="0"/>
              <w:adjustRightInd w:val="0"/>
              <w:snapToGrid w:val="0"/>
              <w:spacing w:after="0" w:line="560" w:lineRule="exact"/>
              <w:jc w:val="both"/>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店仔尾环境改造提升项目</w:t>
            </w:r>
          </w:p>
        </w:tc>
        <w:tc>
          <w:tcPr>
            <w:tcW w:w="1988" w:type="dxa"/>
            <w:vAlign w:val="center"/>
          </w:tcPr>
          <w:p w14:paraId="08DA07BD">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金谷镇</w:t>
            </w:r>
          </w:p>
        </w:tc>
        <w:tc>
          <w:tcPr>
            <w:tcW w:w="1412" w:type="dxa"/>
            <w:vAlign w:val="center"/>
          </w:tcPr>
          <w:p w14:paraId="21B1EB1D">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250</w:t>
            </w:r>
          </w:p>
        </w:tc>
        <w:tc>
          <w:tcPr>
            <w:tcW w:w="871" w:type="dxa"/>
            <w:vAlign w:val="center"/>
          </w:tcPr>
          <w:p w14:paraId="3C8A1FB0">
            <w:pPr>
              <w:keepNext w:val="0"/>
              <w:keepLines w:val="0"/>
              <w:pageBreakBefore w:val="0"/>
              <w:widowControl/>
              <w:kinsoku/>
              <w:wordWrap/>
              <w:overflowPunct/>
              <w:topLinePunct w:val="0"/>
              <w:autoSpaceDE/>
              <w:autoSpaceDN/>
              <w:bidi w:val="0"/>
              <w:adjustRightInd w:val="0"/>
              <w:snapToGrid w:val="0"/>
              <w:spacing w:after="0" w:line="360" w:lineRule="exact"/>
              <w:jc w:val="left"/>
              <w:textAlignment w:val="auto"/>
              <w:rPr>
                <w:rFonts w:hint="eastAsia" w:ascii="仿宋_GB2312" w:hAnsi="仿宋_GB2312" w:eastAsia="仿宋_GB2312" w:cs="仿宋_GB2312"/>
                <w:sz w:val="32"/>
                <w:szCs w:val="32"/>
                <w:vertAlign w:val="baseline"/>
                <w:lang w:eastAsia="zh-CN"/>
              </w:rPr>
            </w:pPr>
          </w:p>
        </w:tc>
      </w:tr>
      <w:tr w14:paraId="54DD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52" w:type="dxa"/>
            <w:gridSpan w:val="3"/>
            <w:vAlign w:val="center"/>
          </w:tcPr>
          <w:p w14:paraId="6F7AD8EC">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合计</w:t>
            </w:r>
          </w:p>
        </w:tc>
        <w:tc>
          <w:tcPr>
            <w:tcW w:w="1412" w:type="dxa"/>
            <w:vAlign w:val="center"/>
          </w:tcPr>
          <w:p w14:paraId="756C4A7D">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4000</w:t>
            </w:r>
          </w:p>
        </w:tc>
        <w:tc>
          <w:tcPr>
            <w:tcW w:w="871" w:type="dxa"/>
            <w:vAlign w:val="center"/>
          </w:tcPr>
          <w:p w14:paraId="7BC40434">
            <w:pPr>
              <w:keepNext w:val="0"/>
              <w:keepLines w:val="0"/>
              <w:pageBreakBefore w:val="0"/>
              <w:widowControl/>
              <w:kinsoku/>
              <w:wordWrap/>
              <w:overflowPunct/>
              <w:topLinePunct w:val="0"/>
              <w:autoSpaceDE/>
              <w:autoSpaceDN/>
              <w:bidi w:val="0"/>
              <w:adjustRightInd w:val="0"/>
              <w:snapToGrid w:val="0"/>
              <w:spacing w:after="0" w:line="360" w:lineRule="exact"/>
              <w:jc w:val="center"/>
              <w:textAlignment w:val="auto"/>
              <w:rPr>
                <w:rFonts w:hint="eastAsia" w:ascii="仿宋_GB2312" w:hAnsi="仿宋_GB2312" w:eastAsia="仿宋_GB2312" w:cs="仿宋_GB2312"/>
                <w:sz w:val="32"/>
                <w:szCs w:val="32"/>
                <w:vertAlign w:val="baseline"/>
              </w:rPr>
            </w:pPr>
          </w:p>
        </w:tc>
      </w:tr>
    </w:tbl>
    <w:p w14:paraId="6E254A5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Times New Roman" w:eastAsia="仿宋_GB2312" w:cs="Times New Roman"/>
          <w:sz w:val="32"/>
          <w:szCs w:val="32"/>
        </w:rPr>
      </w:pPr>
    </w:p>
    <w:p w14:paraId="71596C2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Times New Roman" w:eastAsia="仿宋_GB2312" w:cs="Times New Roman"/>
          <w:sz w:val="32"/>
          <w:szCs w:val="32"/>
        </w:rPr>
      </w:pPr>
    </w:p>
    <w:p w14:paraId="265D66A9"/>
    <w:p w14:paraId="0BA5297F">
      <w:pPr>
        <w:sectPr>
          <w:footerReference r:id="rId4" w:type="default"/>
          <w:pgSz w:w="11900" w:h="16820"/>
          <w:pgMar w:top="1701" w:right="1474" w:bottom="1701" w:left="1474" w:header="0" w:footer="1400" w:gutter="0"/>
          <w:pgNumType w:fmt="numberInDash"/>
          <w:cols w:space="0" w:num="1"/>
          <w:rtlGutter w:val="0"/>
          <w:docGrid w:linePitch="0" w:charSpace="0"/>
        </w:sectPr>
      </w:pPr>
    </w:p>
    <w:p w14:paraId="1C0EAEF0">
      <w:pPr>
        <w:spacing w:afterLines="100" w:line="560" w:lineRule="exact"/>
        <w:rPr>
          <w:rFonts w:ascii="黑体" w:hAnsi="方正小标宋简体" w:eastAsia="黑体" w:cs="方正小标宋简体"/>
          <w:spacing w:val="-4"/>
          <w:sz w:val="32"/>
          <w:szCs w:val="36"/>
        </w:rPr>
      </w:pPr>
      <w:r>
        <w:rPr>
          <w:rFonts w:hint="eastAsia" w:ascii="黑体" w:hAnsi="方正小标宋简体" w:eastAsia="黑体" w:cs="方正小标宋简体"/>
          <w:spacing w:val="-4"/>
          <w:sz w:val="32"/>
          <w:szCs w:val="36"/>
        </w:rPr>
        <w:t>附件</w:t>
      </w:r>
      <w:r>
        <w:rPr>
          <w:rFonts w:ascii="黑体" w:hAnsi="方正小标宋简体" w:eastAsia="黑体" w:cs="方正小标宋简体"/>
          <w:spacing w:val="-4"/>
          <w:sz w:val="32"/>
          <w:szCs w:val="36"/>
        </w:rPr>
        <w:t>2</w:t>
      </w:r>
    </w:p>
    <w:p w14:paraId="06E4932D">
      <w:pPr>
        <w:spacing w:afterLines="100" w:line="56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sz w:val="32"/>
          <w:szCs w:val="32"/>
          <w:lang w:val="en-US" w:eastAsia="zh-CN"/>
        </w:rPr>
        <w:t>2026年度中央专项彩票公益金支持革命老区乡村振兴项目资金</w:t>
      </w:r>
      <w:r>
        <w:rPr>
          <w:rFonts w:hint="eastAsia" w:ascii="方正小标宋简体" w:hAnsi="方正小标宋简体" w:eastAsia="方正小标宋简体" w:cs="方正小标宋简体"/>
          <w:sz w:val="32"/>
          <w:szCs w:val="32"/>
        </w:rPr>
        <w:t>绩效目标表</w:t>
      </w:r>
    </w:p>
    <w:tbl>
      <w:tblPr>
        <w:tblStyle w:val="7"/>
        <w:tblW w:w="14395" w:type="dxa"/>
        <w:tblInd w:w="-5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2"/>
        <w:gridCol w:w="1352"/>
        <w:gridCol w:w="1372"/>
        <w:gridCol w:w="1938"/>
        <w:gridCol w:w="3137"/>
        <w:gridCol w:w="1247"/>
        <w:gridCol w:w="1193"/>
        <w:gridCol w:w="964"/>
        <w:gridCol w:w="1180"/>
      </w:tblGrid>
      <w:tr w14:paraId="2DCF8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2012" w:type="dxa"/>
            <w:vAlign w:val="center"/>
          </w:tcPr>
          <w:p w14:paraId="25F26A95">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项目名称</w:t>
            </w:r>
          </w:p>
        </w:tc>
        <w:tc>
          <w:tcPr>
            <w:tcW w:w="12383" w:type="dxa"/>
            <w:gridSpan w:val="8"/>
            <w:vAlign w:val="center"/>
          </w:tcPr>
          <w:p w14:paraId="098CAB71">
            <w:pPr>
              <w:keepNext w:val="0"/>
              <w:keepLines w:val="0"/>
              <w:pageBreakBefore w:val="0"/>
              <w:widowControl/>
              <w:kinsoku w:val="0"/>
              <w:wordWrap/>
              <w:overflowPunct/>
              <w:topLinePunct w:val="0"/>
              <w:autoSpaceDE w:val="0"/>
              <w:autoSpaceDN w:val="0"/>
              <w:bidi w:val="0"/>
              <w:adjustRightInd w:val="0"/>
              <w:snapToGrid w:val="0"/>
              <w:spacing w:before="16" w:after="0" w:line="400" w:lineRule="exact"/>
              <w:ind w:left="261"/>
              <w:jc w:val="center"/>
              <w:textAlignment w:val="baseline"/>
              <w:rPr>
                <w:rFonts w:hint="default" w:ascii="Times New Roman" w:hAnsi="Times New Roman" w:eastAsia="仿宋_GB2312" w:cs="Times New Roman"/>
                <w:snapToGrid w:val="0"/>
                <w:color w:val="000000"/>
                <w:spacing w:val="-2"/>
                <w:sz w:val="20"/>
                <w:szCs w:val="20"/>
              </w:rPr>
            </w:pPr>
            <w:r>
              <w:rPr>
                <w:rFonts w:hint="eastAsia" w:ascii="仿宋_GB2312" w:hAnsi="仿宋_GB2312" w:eastAsia="仿宋_GB2312" w:cs="仿宋_GB2312"/>
                <w:snapToGrid w:val="0"/>
                <w:color w:val="000000"/>
                <w:spacing w:val="-2"/>
                <w:sz w:val="22"/>
                <w:szCs w:val="22"/>
                <w:lang w:val="en-US" w:eastAsia="zh-CN"/>
              </w:rPr>
              <w:t>2026年度中央专项彩票公益金支持革命老区乡村振兴项目资金</w:t>
            </w:r>
            <w:r>
              <w:rPr>
                <w:rFonts w:hint="eastAsia" w:ascii="仿宋_GB2312" w:hAnsi="仿宋_GB2312" w:eastAsia="仿宋_GB2312" w:cs="仿宋_GB2312"/>
                <w:snapToGrid w:val="0"/>
                <w:color w:val="000000"/>
                <w:spacing w:val="-2"/>
                <w:sz w:val="22"/>
                <w:szCs w:val="22"/>
              </w:rPr>
              <w:t>绩效目标表</w:t>
            </w:r>
          </w:p>
        </w:tc>
      </w:tr>
      <w:tr w14:paraId="4EA6B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012" w:type="dxa"/>
            <w:vAlign w:val="center"/>
          </w:tcPr>
          <w:p w14:paraId="7BE8017D">
            <w:pPr>
              <w:kinsoku w:val="0"/>
              <w:autoSpaceDE w:val="0"/>
              <w:autoSpaceDN w:val="0"/>
              <w:spacing w:before="16" w:after="0" w:line="193" w:lineRule="auto"/>
              <w:ind w:left="0" w:leftChars="0" w:right="0" w:rightChars="0" w:firstLine="0" w:firstLineChars="0"/>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主管部门</w:t>
            </w:r>
            <w:r>
              <w:rPr>
                <w:rFonts w:hint="eastAsia" w:ascii="Times New Roman" w:hAnsi="Times New Roman" w:eastAsia="仿宋_GB2312" w:cs="Times New Roman"/>
                <w:snapToGrid w:val="0"/>
                <w:color w:val="000000"/>
                <w:spacing w:val="-2"/>
                <w:sz w:val="20"/>
                <w:szCs w:val="20"/>
                <w:lang w:eastAsia="zh-CN"/>
              </w:rPr>
              <w:t>（</w:t>
            </w:r>
            <w:r>
              <w:rPr>
                <w:rFonts w:hint="default" w:ascii="Times New Roman" w:hAnsi="Times New Roman" w:eastAsia="仿宋_GB2312" w:cs="Times New Roman"/>
                <w:snapToGrid w:val="0"/>
                <w:color w:val="000000"/>
                <w:spacing w:val="-2"/>
                <w:sz w:val="20"/>
                <w:szCs w:val="20"/>
              </w:rPr>
              <w:t>单位</w:t>
            </w:r>
            <w:r>
              <w:rPr>
                <w:rFonts w:hint="eastAsia" w:ascii="Times New Roman" w:hAnsi="Times New Roman" w:eastAsia="仿宋_GB2312" w:cs="Times New Roman"/>
                <w:snapToGrid w:val="0"/>
                <w:color w:val="000000"/>
                <w:spacing w:val="-2"/>
                <w:sz w:val="20"/>
                <w:szCs w:val="20"/>
                <w:lang w:eastAsia="zh-CN"/>
              </w:rPr>
              <w:t>）</w:t>
            </w:r>
            <w:r>
              <w:rPr>
                <w:rFonts w:hint="default" w:ascii="Times New Roman" w:hAnsi="Times New Roman" w:eastAsia="仿宋_GB2312" w:cs="Times New Roman"/>
                <w:snapToGrid w:val="0"/>
                <w:color w:val="000000"/>
                <w:spacing w:val="-2"/>
                <w:sz w:val="20"/>
                <w:szCs w:val="20"/>
              </w:rPr>
              <w:t>名称及部门预算编码</w:t>
            </w:r>
          </w:p>
        </w:tc>
        <w:tc>
          <w:tcPr>
            <w:tcW w:w="4662" w:type="dxa"/>
            <w:gridSpan w:val="3"/>
            <w:vAlign w:val="center"/>
          </w:tcPr>
          <w:p w14:paraId="170B8886">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安溪县农业农村局</w:t>
            </w:r>
            <w:r>
              <w:rPr>
                <w:rFonts w:hint="eastAsia" w:ascii="Times New Roman" w:hAnsi="Times New Roman" w:eastAsia="仿宋_GB2312" w:cs="Times New Roman"/>
                <w:snapToGrid w:val="0"/>
                <w:color w:val="000000"/>
                <w:spacing w:val="-2"/>
                <w:sz w:val="20"/>
                <w:szCs w:val="20"/>
                <w:lang w:eastAsia="zh-CN"/>
              </w:rPr>
              <w:t>（</w:t>
            </w:r>
            <w:r>
              <w:rPr>
                <w:rFonts w:hint="default" w:ascii="Times New Roman" w:hAnsi="Times New Roman" w:eastAsia="仿宋_GB2312" w:cs="Times New Roman"/>
                <w:snapToGrid w:val="0"/>
                <w:color w:val="000000"/>
                <w:spacing w:val="-2"/>
                <w:sz w:val="20"/>
                <w:szCs w:val="20"/>
              </w:rPr>
              <w:t>行政</w:t>
            </w:r>
            <w:r>
              <w:rPr>
                <w:rFonts w:hint="eastAsia" w:ascii="Times New Roman" w:hAnsi="Times New Roman" w:eastAsia="仿宋_GB2312" w:cs="Times New Roman"/>
                <w:snapToGrid w:val="0"/>
                <w:color w:val="000000"/>
                <w:spacing w:val="-2"/>
                <w:sz w:val="20"/>
                <w:szCs w:val="20"/>
                <w:lang w:eastAsia="zh-CN"/>
              </w:rPr>
              <w:t>）</w:t>
            </w:r>
          </w:p>
        </w:tc>
        <w:tc>
          <w:tcPr>
            <w:tcW w:w="3137" w:type="dxa"/>
            <w:vAlign w:val="center"/>
          </w:tcPr>
          <w:p w14:paraId="59C2F4AA">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补助项目/区域</w:t>
            </w:r>
          </w:p>
        </w:tc>
        <w:tc>
          <w:tcPr>
            <w:tcW w:w="4584" w:type="dxa"/>
            <w:gridSpan w:val="4"/>
            <w:vAlign w:val="center"/>
          </w:tcPr>
          <w:p w14:paraId="25EA4049">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lang w:val="en-US"/>
              </w:rPr>
            </w:pPr>
            <w:r>
              <w:rPr>
                <w:rFonts w:hint="eastAsia" w:ascii="Times New Roman" w:hAnsi="Times New Roman" w:eastAsia="仿宋_GB2312" w:cs="Times New Roman"/>
                <w:snapToGrid w:val="0"/>
                <w:color w:val="000000"/>
                <w:spacing w:val="-2"/>
                <w:sz w:val="20"/>
                <w:szCs w:val="20"/>
                <w:lang w:val="en-US" w:eastAsia="zh-CN"/>
              </w:rPr>
              <w:t>金谷镇</w:t>
            </w:r>
          </w:p>
        </w:tc>
      </w:tr>
      <w:tr w14:paraId="4AA7A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trPr>
        <w:tc>
          <w:tcPr>
            <w:tcW w:w="2012" w:type="dxa"/>
            <w:vMerge w:val="restart"/>
            <w:tcBorders>
              <w:bottom w:val="nil"/>
            </w:tcBorders>
            <w:vAlign w:val="center"/>
          </w:tcPr>
          <w:p w14:paraId="270CF6A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专项资金情况</w:t>
            </w:r>
          </w:p>
          <w:p w14:paraId="27757743">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eastAsia" w:ascii="Times New Roman" w:hAnsi="Times New Roman" w:eastAsia="仿宋_GB2312" w:cs="Times New Roman"/>
                <w:snapToGrid w:val="0"/>
                <w:color w:val="000000"/>
                <w:spacing w:val="-2"/>
                <w:sz w:val="20"/>
                <w:szCs w:val="20"/>
                <w:lang w:eastAsia="zh-CN"/>
              </w:rPr>
              <w:t>（</w:t>
            </w:r>
            <w:r>
              <w:rPr>
                <w:rFonts w:hint="default" w:ascii="Times New Roman" w:hAnsi="Times New Roman" w:eastAsia="仿宋_GB2312" w:cs="Times New Roman"/>
                <w:snapToGrid w:val="0"/>
                <w:color w:val="000000"/>
                <w:spacing w:val="-2"/>
                <w:sz w:val="20"/>
                <w:szCs w:val="20"/>
              </w:rPr>
              <w:t>万元</w:t>
            </w:r>
            <w:r>
              <w:rPr>
                <w:rFonts w:hint="eastAsia" w:ascii="Times New Roman" w:hAnsi="Times New Roman" w:eastAsia="仿宋_GB2312" w:cs="Times New Roman"/>
                <w:snapToGrid w:val="0"/>
                <w:color w:val="000000"/>
                <w:spacing w:val="-2"/>
                <w:sz w:val="20"/>
                <w:szCs w:val="20"/>
                <w:lang w:eastAsia="zh-CN"/>
              </w:rPr>
              <w:t>）</w:t>
            </w:r>
          </w:p>
        </w:tc>
        <w:tc>
          <w:tcPr>
            <w:tcW w:w="4662" w:type="dxa"/>
            <w:gridSpan w:val="3"/>
            <w:vAlign w:val="center"/>
          </w:tcPr>
          <w:p w14:paraId="6ABFC98A">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资金总额：</w:t>
            </w:r>
          </w:p>
        </w:tc>
        <w:tc>
          <w:tcPr>
            <w:tcW w:w="7721" w:type="dxa"/>
            <w:gridSpan w:val="5"/>
            <w:vAlign w:val="center"/>
          </w:tcPr>
          <w:p w14:paraId="4305213F">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4000</w:t>
            </w:r>
          </w:p>
        </w:tc>
      </w:tr>
      <w:tr w14:paraId="6D984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trPr>
        <w:tc>
          <w:tcPr>
            <w:tcW w:w="2012" w:type="dxa"/>
            <w:vMerge w:val="continue"/>
            <w:tcBorders>
              <w:top w:val="nil"/>
              <w:bottom w:val="nil"/>
            </w:tcBorders>
            <w:vAlign w:val="center"/>
          </w:tcPr>
          <w:p w14:paraId="14BBDBC7">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4662" w:type="dxa"/>
            <w:gridSpan w:val="3"/>
            <w:vAlign w:val="center"/>
          </w:tcPr>
          <w:p w14:paraId="1FF18AAB">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其中：财政拨款</w:t>
            </w:r>
          </w:p>
        </w:tc>
        <w:tc>
          <w:tcPr>
            <w:tcW w:w="7721" w:type="dxa"/>
            <w:gridSpan w:val="5"/>
            <w:vAlign w:val="center"/>
          </w:tcPr>
          <w:p w14:paraId="1DAC00B8">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4000</w:t>
            </w:r>
          </w:p>
        </w:tc>
      </w:tr>
      <w:tr w14:paraId="4BB11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trPr>
        <w:tc>
          <w:tcPr>
            <w:tcW w:w="2012" w:type="dxa"/>
            <w:vMerge w:val="continue"/>
            <w:tcBorders>
              <w:top w:val="nil"/>
            </w:tcBorders>
            <w:vAlign w:val="center"/>
          </w:tcPr>
          <w:p w14:paraId="5D59DE2E">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4662" w:type="dxa"/>
            <w:gridSpan w:val="3"/>
            <w:vAlign w:val="center"/>
          </w:tcPr>
          <w:p w14:paraId="04413CA7">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其他资金</w:t>
            </w:r>
          </w:p>
        </w:tc>
        <w:tc>
          <w:tcPr>
            <w:tcW w:w="7721" w:type="dxa"/>
            <w:gridSpan w:val="5"/>
            <w:vAlign w:val="center"/>
          </w:tcPr>
          <w:p w14:paraId="3EC4CFCF">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0</w:t>
            </w:r>
          </w:p>
        </w:tc>
      </w:tr>
      <w:tr w14:paraId="67D64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6" w:hRule="atLeast"/>
        </w:trPr>
        <w:tc>
          <w:tcPr>
            <w:tcW w:w="2012" w:type="dxa"/>
            <w:vAlign w:val="center"/>
          </w:tcPr>
          <w:p w14:paraId="69393671">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总体目标</w:t>
            </w:r>
          </w:p>
        </w:tc>
        <w:tc>
          <w:tcPr>
            <w:tcW w:w="12383" w:type="dxa"/>
            <w:gridSpan w:val="8"/>
            <w:vAlign w:val="center"/>
          </w:tcPr>
          <w:p w14:paraId="31729DB8">
            <w:pPr>
              <w:keepNext w:val="0"/>
              <w:keepLines w:val="0"/>
              <w:pageBreakBefore w:val="0"/>
              <w:widowControl/>
              <w:kinsoku/>
              <w:wordWrap/>
              <w:overflowPunct/>
              <w:topLinePunct w:val="0"/>
              <w:autoSpaceDE/>
              <w:autoSpaceDN/>
              <w:bidi w:val="0"/>
              <w:adjustRightInd w:val="0"/>
              <w:snapToGrid w:val="0"/>
              <w:spacing w:after="0" w:line="280" w:lineRule="exact"/>
              <w:textAlignment w:val="auto"/>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z w:val="22"/>
                <w:szCs w:val="22"/>
              </w:rPr>
              <w:t>以习近平新时代中国特色社会主义思想为指导，深入贯彻落实习近平总书记关于推进乡村全面振兴，加快革命老区振兴发展的重要指示精神，完整、准确、全面贯彻新发展理念，支持革命老区在乡村振兴道路上积极探索，创新实践，充分发挥老区资源禀赋、政策保障、精神力量等特有优势，深入发掘乡村产品供给，文化传承等特有功能，充分发挥</w:t>
            </w:r>
            <w:r>
              <w:rPr>
                <w:rFonts w:hint="eastAsia" w:ascii="Times New Roman" w:hAnsi="Times New Roman" w:eastAsia="仿宋_GB2312" w:cs="Times New Roman"/>
                <w:sz w:val="22"/>
                <w:szCs w:val="22"/>
                <w:lang w:eastAsia="zh-CN"/>
              </w:rPr>
              <w:t>中央</w:t>
            </w:r>
            <w:r>
              <w:rPr>
                <w:rFonts w:hint="eastAsia" w:ascii="Times New Roman" w:hAnsi="Times New Roman" w:eastAsia="仿宋_GB2312" w:cs="Times New Roman"/>
                <w:sz w:val="22"/>
                <w:szCs w:val="22"/>
              </w:rPr>
              <w:t>专项</w:t>
            </w:r>
            <w:r>
              <w:rPr>
                <w:rFonts w:hint="eastAsia" w:ascii="Times New Roman" w:hAnsi="Times New Roman" w:eastAsia="仿宋_GB2312" w:cs="Times New Roman"/>
                <w:sz w:val="22"/>
                <w:szCs w:val="22"/>
                <w:lang w:eastAsia="zh-CN"/>
              </w:rPr>
              <w:t>彩票</w:t>
            </w:r>
            <w:bookmarkStart w:id="0" w:name="_GoBack"/>
            <w:bookmarkEnd w:id="0"/>
            <w:r>
              <w:rPr>
                <w:rFonts w:hint="eastAsia" w:ascii="Times New Roman" w:hAnsi="Times New Roman" w:eastAsia="仿宋_GB2312" w:cs="Times New Roman"/>
                <w:sz w:val="22"/>
                <w:szCs w:val="22"/>
              </w:rPr>
              <w:t>公益金的导向作用、推动项目区域内乡村产业提质增效、乡村建设提档升级，乡村治理提升改进，红色文化和乡土文化有效传承，群众生产生活条件持续改善，获得感、幸福感、安全感明显增强，探索具有老区特色的乡村振兴路径</w:t>
            </w:r>
            <w:r>
              <w:rPr>
                <w:rFonts w:hint="eastAsia" w:ascii="Times New Roman" w:hAnsi="Times New Roman" w:eastAsia="仿宋_GB2312" w:cs="Times New Roman"/>
                <w:sz w:val="22"/>
                <w:szCs w:val="22"/>
                <w:lang w:eastAsia="zh-CN"/>
              </w:rPr>
              <w:t>。</w:t>
            </w:r>
          </w:p>
        </w:tc>
      </w:tr>
      <w:tr w14:paraId="3E7B1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2012" w:type="dxa"/>
            <w:vMerge w:val="restart"/>
            <w:tcBorders>
              <w:top w:val="single" w:color="auto" w:sz="4" w:space="0"/>
              <w:left w:val="single" w:color="auto" w:sz="4" w:space="0"/>
              <w:bottom w:val="nil"/>
            </w:tcBorders>
            <w:vAlign w:val="center"/>
          </w:tcPr>
          <w:p w14:paraId="799C0BC7">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绩效指标</w:t>
            </w:r>
          </w:p>
        </w:tc>
        <w:tc>
          <w:tcPr>
            <w:tcW w:w="1352" w:type="dxa"/>
            <w:tcBorders>
              <w:top w:val="single" w:color="auto" w:sz="4" w:space="0"/>
              <w:right w:val="single" w:color="auto" w:sz="4" w:space="0"/>
            </w:tcBorders>
            <w:vAlign w:val="center"/>
          </w:tcPr>
          <w:p w14:paraId="3C786E0D">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一级指标</w:t>
            </w:r>
          </w:p>
        </w:tc>
        <w:tc>
          <w:tcPr>
            <w:tcW w:w="1372" w:type="dxa"/>
            <w:tcBorders>
              <w:left w:val="single" w:color="auto" w:sz="4" w:space="0"/>
            </w:tcBorders>
            <w:vAlign w:val="center"/>
          </w:tcPr>
          <w:p w14:paraId="632A5FF7">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二级指标</w:t>
            </w:r>
          </w:p>
        </w:tc>
        <w:tc>
          <w:tcPr>
            <w:tcW w:w="1938" w:type="dxa"/>
            <w:vAlign w:val="center"/>
          </w:tcPr>
          <w:p w14:paraId="2958C9CD">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三级指标</w:t>
            </w:r>
          </w:p>
        </w:tc>
        <w:tc>
          <w:tcPr>
            <w:tcW w:w="3137" w:type="dxa"/>
            <w:vAlign w:val="center"/>
          </w:tcPr>
          <w:p w14:paraId="31802DE8">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指标解释</w:t>
            </w:r>
          </w:p>
        </w:tc>
        <w:tc>
          <w:tcPr>
            <w:tcW w:w="1247" w:type="dxa"/>
            <w:vAlign w:val="center"/>
          </w:tcPr>
          <w:p w14:paraId="145EC269">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指标性质</w:t>
            </w:r>
          </w:p>
        </w:tc>
        <w:tc>
          <w:tcPr>
            <w:tcW w:w="1193" w:type="dxa"/>
            <w:vAlign w:val="center"/>
          </w:tcPr>
          <w:p w14:paraId="054A2929">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指标方向</w:t>
            </w:r>
          </w:p>
        </w:tc>
        <w:tc>
          <w:tcPr>
            <w:tcW w:w="964" w:type="dxa"/>
            <w:vAlign w:val="center"/>
          </w:tcPr>
          <w:p w14:paraId="2112B6E5">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目标值</w:t>
            </w:r>
          </w:p>
        </w:tc>
        <w:tc>
          <w:tcPr>
            <w:tcW w:w="1180" w:type="dxa"/>
            <w:vAlign w:val="center"/>
          </w:tcPr>
          <w:p w14:paraId="593AB2E2">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计量单位</w:t>
            </w:r>
          </w:p>
        </w:tc>
      </w:tr>
      <w:tr w14:paraId="513E6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2012" w:type="dxa"/>
            <w:vMerge w:val="continue"/>
            <w:tcBorders>
              <w:top w:val="nil"/>
              <w:left w:val="single" w:color="auto" w:sz="4" w:space="0"/>
              <w:bottom w:val="nil"/>
            </w:tcBorders>
            <w:vAlign w:val="center"/>
          </w:tcPr>
          <w:p w14:paraId="0027F837">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tcBorders>
              <w:right w:val="single" w:color="auto" w:sz="4" w:space="0"/>
            </w:tcBorders>
            <w:vAlign w:val="center"/>
          </w:tcPr>
          <w:p w14:paraId="1DEB62A9">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成本指标</w:t>
            </w:r>
          </w:p>
        </w:tc>
        <w:tc>
          <w:tcPr>
            <w:tcW w:w="1372" w:type="dxa"/>
            <w:tcBorders>
              <w:left w:val="single" w:color="auto" w:sz="4" w:space="0"/>
            </w:tcBorders>
            <w:vAlign w:val="center"/>
          </w:tcPr>
          <w:p w14:paraId="02553CA9">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经济成本指标</w:t>
            </w:r>
          </w:p>
        </w:tc>
        <w:tc>
          <w:tcPr>
            <w:tcW w:w="1938" w:type="dxa"/>
            <w:vAlign w:val="center"/>
          </w:tcPr>
          <w:p w14:paraId="3FB2FE47">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扶持金额</w:t>
            </w:r>
          </w:p>
        </w:tc>
        <w:tc>
          <w:tcPr>
            <w:tcW w:w="3137" w:type="dxa"/>
            <w:vAlign w:val="center"/>
          </w:tcPr>
          <w:p w14:paraId="5C861F6F">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财政预算安排资金金额</w:t>
            </w:r>
          </w:p>
        </w:tc>
        <w:tc>
          <w:tcPr>
            <w:tcW w:w="1247" w:type="dxa"/>
            <w:vAlign w:val="center"/>
          </w:tcPr>
          <w:p w14:paraId="2FD08225">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正向</w:t>
            </w:r>
          </w:p>
        </w:tc>
        <w:tc>
          <w:tcPr>
            <w:tcW w:w="1193" w:type="dxa"/>
            <w:vAlign w:val="center"/>
          </w:tcPr>
          <w:p w14:paraId="6B5CC21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等于</w:t>
            </w:r>
          </w:p>
        </w:tc>
        <w:tc>
          <w:tcPr>
            <w:tcW w:w="964" w:type="dxa"/>
            <w:vAlign w:val="center"/>
          </w:tcPr>
          <w:p w14:paraId="02CA2C0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4000</w:t>
            </w:r>
          </w:p>
        </w:tc>
        <w:tc>
          <w:tcPr>
            <w:tcW w:w="1180" w:type="dxa"/>
            <w:vAlign w:val="center"/>
          </w:tcPr>
          <w:p w14:paraId="20512D2C">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万元</w:t>
            </w:r>
          </w:p>
        </w:tc>
      </w:tr>
      <w:tr w14:paraId="485E5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2012" w:type="dxa"/>
            <w:vMerge w:val="continue"/>
            <w:tcBorders>
              <w:top w:val="nil"/>
              <w:left w:val="single" w:color="auto" w:sz="4" w:space="0"/>
              <w:bottom w:val="single" w:color="auto" w:sz="4" w:space="0"/>
            </w:tcBorders>
            <w:vAlign w:val="center"/>
          </w:tcPr>
          <w:p w14:paraId="01DABF77">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restart"/>
            <w:tcBorders>
              <w:bottom w:val="single" w:color="auto" w:sz="4" w:space="0"/>
              <w:right w:val="single" w:color="auto" w:sz="4" w:space="0"/>
            </w:tcBorders>
            <w:vAlign w:val="center"/>
          </w:tcPr>
          <w:p w14:paraId="0CEB6E7F">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产出指标</w:t>
            </w:r>
          </w:p>
        </w:tc>
        <w:tc>
          <w:tcPr>
            <w:tcW w:w="1372" w:type="dxa"/>
            <w:vMerge w:val="restart"/>
            <w:tcBorders>
              <w:left w:val="single" w:color="auto" w:sz="4" w:space="0"/>
            </w:tcBorders>
            <w:vAlign w:val="center"/>
          </w:tcPr>
          <w:p w14:paraId="522A3D2A">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质量指标</w:t>
            </w:r>
          </w:p>
        </w:tc>
        <w:tc>
          <w:tcPr>
            <w:tcW w:w="1938" w:type="dxa"/>
            <w:vAlign w:val="center"/>
          </w:tcPr>
          <w:p w14:paraId="596CF3C8">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工程验收合格率</w:t>
            </w:r>
          </w:p>
        </w:tc>
        <w:tc>
          <w:tcPr>
            <w:tcW w:w="3137" w:type="dxa"/>
            <w:vAlign w:val="center"/>
          </w:tcPr>
          <w:p w14:paraId="6E4BD6CF">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实施补助项目验收合格情况</w:t>
            </w:r>
          </w:p>
        </w:tc>
        <w:tc>
          <w:tcPr>
            <w:tcW w:w="1247" w:type="dxa"/>
            <w:vAlign w:val="center"/>
          </w:tcPr>
          <w:p w14:paraId="6177567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正向</w:t>
            </w:r>
          </w:p>
        </w:tc>
        <w:tc>
          <w:tcPr>
            <w:tcW w:w="1193" w:type="dxa"/>
            <w:vAlign w:val="center"/>
          </w:tcPr>
          <w:p w14:paraId="5B6C868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eastAsia" w:ascii="Times New Roman" w:hAnsi="Times New Roman" w:eastAsia="仿宋_GB2312" w:cs="Times New Roman"/>
                <w:snapToGrid w:val="0"/>
                <w:color w:val="000000"/>
                <w:spacing w:val="-2"/>
                <w:sz w:val="20"/>
                <w:szCs w:val="20"/>
                <w:lang w:val="en-US" w:eastAsia="zh-CN"/>
              </w:rPr>
              <w:t>大于</w:t>
            </w:r>
            <w:r>
              <w:rPr>
                <w:rFonts w:hint="default" w:ascii="Times New Roman" w:hAnsi="Times New Roman" w:eastAsia="仿宋_GB2312" w:cs="Times New Roman"/>
                <w:snapToGrid w:val="0"/>
                <w:color w:val="000000"/>
                <w:spacing w:val="-2"/>
                <w:sz w:val="20"/>
                <w:szCs w:val="20"/>
              </w:rPr>
              <w:t>等于</w:t>
            </w:r>
          </w:p>
        </w:tc>
        <w:tc>
          <w:tcPr>
            <w:tcW w:w="964" w:type="dxa"/>
            <w:vAlign w:val="center"/>
          </w:tcPr>
          <w:p w14:paraId="67597A89">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100</w:t>
            </w:r>
          </w:p>
        </w:tc>
        <w:tc>
          <w:tcPr>
            <w:tcW w:w="1180" w:type="dxa"/>
            <w:vAlign w:val="center"/>
          </w:tcPr>
          <w:p w14:paraId="17175607">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w:t>
            </w:r>
          </w:p>
        </w:tc>
      </w:tr>
      <w:tr w14:paraId="28E05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2012" w:type="dxa"/>
            <w:vMerge w:val="continue"/>
            <w:tcBorders>
              <w:top w:val="single" w:color="auto" w:sz="4" w:space="0"/>
              <w:left w:val="single" w:color="auto" w:sz="4" w:space="0"/>
              <w:bottom w:val="single" w:color="auto" w:sz="4" w:space="0"/>
            </w:tcBorders>
            <w:vAlign w:val="center"/>
          </w:tcPr>
          <w:p w14:paraId="78BCF13F">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continue"/>
            <w:tcBorders>
              <w:top w:val="single" w:color="auto" w:sz="4" w:space="0"/>
              <w:bottom w:val="single" w:color="auto" w:sz="4" w:space="0"/>
              <w:right w:val="single" w:color="auto" w:sz="4" w:space="0"/>
            </w:tcBorders>
            <w:vAlign w:val="center"/>
          </w:tcPr>
          <w:p w14:paraId="5E1D7DB9">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72" w:type="dxa"/>
            <w:vMerge w:val="continue"/>
            <w:tcBorders>
              <w:left w:val="single" w:color="auto" w:sz="4" w:space="0"/>
            </w:tcBorders>
            <w:vAlign w:val="center"/>
          </w:tcPr>
          <w:p w14:paraId="3637F398">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p>
        </w:tc>
        <w:tc>
          <w:tcPr>
            <w:tcW w:w="1938" w:type="dxa"/>
            <w:vAlign w:val="center"/>
          </w:tcPr>
          <w:p w14:paraId="0B76B31B">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已建工程质量问题</w:t>
            </w:r>
          </w:p>
        </w:tc>
        <w:tc>
          <w:tcPr>
            <w:tcW w:w="3137" w:type="dxa"/>
            <w:vAlign w:val="center"/>
          </w:tcPr>
          <w:p w14:paraId="44EB8669">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实施补助项目出现质量问题情况</w:t>
            </w:r>
          </w:p>
        </w:tc>
        <w:tc>
          <w:tcPr>
            <w:tcW w:w="1247" w:type="dxa"/>
            <w:vAlign w:val="center"/>
          </w:tcPr>
          <w:p w14:paraId="7460564F">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default" w:ascii="Times New Roman" w:hAnsi="Times New Roman" w:eastAsia="仿宋_GB2312" w:cs="Times New Roman"/>
                <w:snapToGrid w:val="0"/>
                <w:color w:val="000000"/>
                <w:spacing w:val="-2"/>
                <w:sz w:val="20"/>
                <w:szCs w:val="20"/>
                <w:lang w:val="en-US" w:eastAsia="zh-CN"/>
              </w:rPr>
              <w:t>正向</w:t>
            </w:r>
          </w:p>
        </w:tc>
        <w:tc>
          <w:tcPr>
            <w:tcW w:w="1193" w:type="dxa"/>
            <w:vAlign w:val="center"/>
          </w:tcPr>
          <w:p w14:paraId="2318AB1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小于等于</w:t>
            </w:r>
          </w:p>
        </w:tc>
        <w:tc>
          <w:tcPr>
            <w:tcW w:w="964" w:type="dxa"/>
            <w:vAlign w:val="center"/>
          </w:tcPr>
          <w:p w14:paraId="3F3854A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0</w:t>
            </w:r>
          </w:p>
        </w:tc>
        <w:tc>
          <w:tcPr>
            <w:tcW w:w="1180" w:type="dxa"/>
            <w:vAlign w:val="center"/>
          </w:tcPr>
          <w:p w14:paraId="3DA613D3">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个</w:t>
            </w:r>
          </w:p>
        </w:tc>
      </w:tr>
      <w:tr w14:paraId="661B5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012" w:type="dxa"/>
            <w:vMerge w:val="continue"/>
            <w:tcBorders>
              <w:top w:val="single" w:color="auto" w:sz="4" w:space="0"/>
              <w:left w:val="single" w:color="auto" w:sz="4" w:space="0"/>
              <w:bottom w:val="single" w:color="auto" w:sz="4" w:space="0"/>
            </w:tcBorders>
            <w:vAlign w:val="center"/>
          </w:tcPr>
          <w:p w14:paraId="69560E3A">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continue"/>
            <w:tcBorders>
              <w:top w:val="single" w:color="auto" w:sz="4" w:space="0"/>
              <w:bottom w:val="single" w:color="auto" w:sz="4" w:space="0"/>
              <w:right w:val="single" w:color="auto" w:sz="4" w:space="0"/>
            </w:tcBorders>
            <w:vAlign w:val="center"/>
          </w:tcPr>
          <w:p w14:paraId="22B08991">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72" w:type="dxa"/>
            <w:vMerge w:val="restart"/>
            <w:tcBorders>
              <w:left w:val="single" w:color="auto" w:sz="4" w:space="0"/>
            </w:tcBorders>
            <w:vAlign w:val="center"/>
          </w:tcPr>
          <w:p w14:paraId="1BA4ABE2">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时效指标</w:t>
            </w:r>
          </w:p>
        </w:tc>
        <w:tc>
          <w:tcPr>
            <w:tcW w:w="1938" w:type="dxa"/>
            <w:vAlign w:val="center"/>
          </w:tcPr>
          <w:p w14:paraId="6AF9D5D6">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建设周期</w:t>
            </w:r>
          </w:p>
        </w:tc>
        <w:tc>
          <w:tcPr>
            <w:tcW w:w="3137" w:type="dxa"/>
            <w:vAlign w:val="center"/>
          </w:tcPr>
          <w:p w14:paraId="6D036258">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补助资金项目建设周期</w:t>
            </w:r>
          </w:p>
        </w:tc>
        <w:tc>
          <w:tcPr>
            <w:tcW w:w="1247" w:type="dxa"/>
            <w:vAlign w:val="center"/>
          </w:tcPr>
          <w:p w14:paraId="429FF082">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正向</w:t>
            </w:r>
          </w:p>
        </w:tc>
        <w:tc>
          <w:tcPr>
            <w:tcW w:w="1193" w:type="dxa"/>
            <w:vAlign w:val="center"/>
          </w:tcPr>
          <w:p w14:paraId="20E13A1D">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等于</w:t>
            </w:r>
          </w:p>
        </w:tc>
        <w:tc>
          <w:tcPr>
            <w:tcW w:w="964" w:type="dxa"/>
            <w:vAlign w:val="center"/>
          </w:tcPr>
          <w:p w14:paraId="012B8495">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1</w:t>
            </w:r>
          </w:p>
        </w:tc>
        <w:tc>
          <w:tcPr>
            <w:tcW w:w="1180" w:type="dxa"/>
            <w:vAlign w:val="center"/>
          </w:tcPr>
          <w:p w14:paraId="1F28FDB9">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年</w:t>
            </w:r>
          </w:p>
        </w:tc>
      </w:tr>
      <w:tr w14:paraId="089F4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012" w:type="dxa"/>
            <w:vMerge w:val="continue"/>
            <w:tcBorders>
              <w:top w:val="single" w:color="auto" w:sz="4" w:space="0"/>
              <w:left w:val="single" w:color="auto" w:sz="4" w:space="0"/>
              <w:bottom w:val="single" w:color="auto" w:sz="4" w:space="0"/>
            </w:tcBorders>
            <w:vAlign w:val="center"/>
          </w:tcPr>
          <w:p w14:paraId="0474D194">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continue"/>
            <w:tcBorders>
              <w:top w:val="single" w:color="auto" w:sz="4" w:space="0"/>
              <w:bottom w:val="single" w:color="auto" w:sz="4" w:space="0"/>
              <w:right w:val="single" w:color="auto" w:sz="4" w:space="0"/>
            </w:tcBorders>
            <w:vAlign w:val="center"/>
          </w:tcPr>
          <w:p w14:paraId="37E776EB">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72" w:type="dxa"/>
            <w:vMerge w:val="continue"/>
            <w:tcBorders>
              <w:left w:val="single" w:color="auto" w:sz="4" w:space="0"/>
            </w:tcBorders>
            <w:vAlign w:val="center"/>
          </w:tcPr>
          <w:p w14:paraId="7329990A">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p>
        </w:tc>
        <w:tc>
          <w:tcPr>
            <w:tcW w:w="1938" w:type="dxa"/>
            <w:vAlign w:val="center"/>
          </w:tcPr>
          <w:p w14:paraId="1B4EFF56">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年度资金拨付率</w:t>
            </w:r>
          </w:p>
        </w:tc>
        <w:tc>
          <w:tcPr>
            <w:tcW w:w="3137" w:type="dxa"/>
            <w:vAlign w:val="center"/>
          </w:tcPr>
          <w:p w14:paraId="23AA2C6E">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财政资金拨付到位情况</w:t>
            </w:r>
          </w:p>
        </w:tc>
        <w:tc>
          <w:tcPr>
            <w:tcW w:w="1247" w:type="dxa"/>
            <w:vAlign w:val="center"/>
          </w:tcPr>
          <w:p w14:paraId="4D9074F8">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正向</w:t>
            </w:r>
          </w:p>
        </w:tc>
        <w:tc>
          <w:tcPr>
            <w:tcW w:w="1193" w:type="dxa"/>
            <w:vAlign w:val="center"/>
          </w:tcPr>
          <w:p w14:paraId="1138338A">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大于等于</w:t>
            </w:r>
          </w:p>
        </w:tc>
        <w:tc>
          <w:tcPr>
            <w:tcW w:w="964" w:type="dxa"/>
            <w:vAlign w:val="center"/>
          </w:tcPr>
          <w:p w14:paraId="781446AF">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100</w:t>
            </w:r>
          </w:p>
        </w:tc>
        <w:tc>
          <w:tcPr>
            <w:tcW w:w="1180" w:type="dxa"/>
            <w:vAlign w:val="center"/>
          </w:tcPr>
          <w:p w14:paraId="10B2E568">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w:t>
            </w:r>
          </w:p>
        </w:tc>
      </w:tr>
      <w:tr w14:paraId="1157B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012" w:type="dxa"/>
            <w:vMerge w:val="continue"/>
            <w:tcBorders>
              <w:top w:val="single" w:color="auto" w:sz="4" w:space="0"/>
              <w:left w:val="single" w:color="auto" w:sz="4" w:space="0"/>
              <w:bottom w:val="single" w:color="auto" w:sz="4" w:space="0"/>
            </w:tcBorders>
            <w:vAlign w:val="center"/>
          </w:tcPr>
          <w:p w14:paraId="098A20DD">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continue"/>
            <w:tcBorders>
              <w:top w:val="single" w:color="auto" w:sz="4" w:space="0"/>
              <w:bottom w:val="single" w:color="auto" w:sz="4" w:space="0"/>
              <w:right w:val="single" w:color="auto" w:sz="4" w:space="0"/>
            </w:tcBorders>
            <w:vAlign w:val="center"/>
          </w:tcPr>
          <w:p w14:paraId="216A304A">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72" w:type="dxa"/>
            <w:vMerge w:val="continue"/>
            <w:tcBorders>
              <w:left w:val="single" w:color="auto" w:sz="4" w:space="0"/>
            </w:tcBorders>
            <w:vAlign w:val="center"/>
          </w:tcPr>
          <w:p w14:paraId="052C00F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p>
        </w:tc>
        <w:tc>
          <w:tcPr>
            <w:tcW w:w="1938" w:type="dxa"/>
            <w:vAlign w:val="center"/>
          </w:tcPr>
          <w:p w14:paraId="2226CD44">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年度资金支付率</w:t>
            </w:r>
          </w:p>
        </w:tc>
        <w:tc>
          <w:tcPr>
            <w:tcW w:w="3137" w:type="dxa"/>
            <w:vAlign w:val="center"/>
          </w:tcPr>
          <w:p w14:paraId="4064BFD6">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项目建设资金支付情况</w:t>
            </w:r>
          </w:p>
        </w:tc>
        <w:tc>
          <w:tcPr>
            <w:tcW w:w="1247" w:type="dxa"/>
            <w:vAlign w:val="center"/>
          </w:tcPr>
          <w:p w14:paraId="7B5D22FD">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正向</w:t>
            </w:r>
          </w:p>
        </w:tc>
        <w:tc>
          <w:tcPr>
            <w:tcW w:w="1193" w:type="dxa"/>
            <w:vAlign w:val="center"/>
          </w:tcPr>
          <w:p w14:paraId="3F74E8A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大于等于</w:t>
            </w:r>
          </w:p>
        </w:tc>
        <w:tc>
          <w:tcPr>
            <w:tcW w:w="964" w:type="dxa"/>
            <w:vAlign w:val="center"/>
          </w:tcPr>
          <w:p w14:paraId="655DEE3B">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80</w:t>
            </w:r>
          </w:p>
        </w:tc>
        <w:tc>
          <w:tcPr>
            <w:tcW w:w="1180" w:type="dxa"/>
            <w:vAlign w:val="center"/>
          </w:tcPr>
          <w:p w14:paraId="1EFF3E00">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w:t>
            </w:r>
          </w:p>
        </w:tc>
      </w:tr>
      <w:tr w14:paraId="22E63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012" w:type="dxa"/>
            <w:vMerge w:val="restart"/>
            <w:tcBorders>
              <w:top w:val="single" w:color="auto" w:sz="4" w:space="0"/>
              <w:left w:val="single" w:color="auto" w:sz="4" w:space="0"/>
            </w:tcBorders>
            <w:vAlign w:val="center"/>
          </w:tcPr>
          <w:p w14:paraId="14424A23">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绩效指标</w:t>
            </w:r>
          </w:p>
        </w:tc>
        <w:tc>
          <w:tcPr>
            <w:tcW w:w="1352" w:type="dxa"/>
            <w:tcBorders>
              <w:top w:val="single" w:color="auto" w:sz="4" w:space="0"/>
              <w:bottom w:val="single" w:color="auto" w:sz="4" w:space="0"/>
              <w:right w:val="single" w:color="auto" w:sz="4" w:space="0"/>
            </w:tcBorders>
            <w:shd w:val="clear" w:color="auto" w:fill="auto"/>
            <w:vAlign w:val="center"/>
          </w:tcPr>
          <w:p w14:paraId="1A814F0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一级指标</w:t>
            </w:r>
          </w:p>
        </w:tc>
        <w:tc>
          <w:tcPr>
            <w:tcW w:w="1372" w:type="dxa"/>
            <w:tcBorders>
              <w:left w:val="single" w:color="auto" w:sz="4" w:space="0"/>
            </w:tcBorders>
            <w:shd w:val="clear" w:color="auto" w:fill="auto"/>
            <w:vAlign w:val="center"/>
          </w:tcPr>
          <w:p w14:paraId="0C3CB53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二级指标</w:t>
            </w:r>
          </w:p>
        </w:tc>
        <w:tc>
          <w:tcPr>
            <w:tcW w:w="1938" w:type="dxa"/>
            <w:shd w:val="clear" w:color="auto" w:fill="auto"/>
            <w:vAlign w:val="center"/>
          </w:tcPr>
          <w:p w14:paraId="338833AC">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三级指标</w:t>
            </w:r>
          </w:p>
        </w:tc>
        <w:tc>
          <w:tcPr>
            <w:tcW w:w="3137" w:type="dxa"/>
            <w:shd w:val="clear" w:color="auto" w:fill="auto"/>
            <w:vAlign w:val="center"/>
          </w:tcPr>
          <w:p w14:paraId="390E2982">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指标解释</w:t>
            </w:r>
          </w:p>
        </w:tc>
        <w:tc>
          <w:tcPr>
            <w:tcW w:w="1247" w:type="dxa"/>
            <w:shd w:val="clear" w:color="auto" w:fill="auto"/>
            <w:vAlign w:val="center"/>
          </w:tcPr>
          <w:p w14:paraId="0C784887">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指标性质</w:t>
            </w:r>
          </w:p>
        </w:tc>
        <w:tc>
          <w:tcPr>
            <w:tcW w:w="1193" w:type="dxa"/>
            <w:shd w:val="clear" w:color="auto" w:fill="auto"/>
            <w:vAlign w:val="center"/>
          </w:tcPr>
          <w:p w14:paraId="2AEE3C97">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指标方向</w:t>
            </w:r>
          </w:p>
        </w:tc>
        <w:tc>
          <w:tcPr>
            <w:tcW w:w="964" w:type="dxa"/>
            <w:shd w:val="clear" w:color="auto" w:fill="auto"/>
            <w:vAlign w:val="center"/>
          </w:tcPr>
          <w:p w14:paraId="54F3E156">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目标值</w:t>
            </w:r>
          </w:p>
        </w:tc>
        <w:tc>
          <w:tcPr>
            <w:tcW w:w="1180" w:type="dxa"/>
            <w:shd w:val="clear" w:color="auto" w:fill="auto"/>
            <w:vAlign w:val="center"/>
          </w:tcPr>
          <w:p w14:paraId="67DFE4BC">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bidi="ar-SA"/>
              </w:rPr>
            </w:pPr>
            <w:r>
              <w:rPr>
                <w:rFonts w:hint="default" w:ascii="Times New Roman" w:hAnsi="Times New Roman" w:eastAsia="仿宋_GB2312" w:cs="Times New Roman"/>
                <w:snapToGrid w:val="0"/>
                <w:color w:val="000000"/>
                <w:spacing w:val="-2"/>
                <w:sz w:val="20"/>
                <w:szCs w:val="20"/>
              </w:rPr>
              <w:t>计量单位</w:t>
            </w:r>
          </w:p>
        </w:tc>
      </w:tr>
      <w:tr w14:paraId="52593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012" w:type="dxa"/>
            <w:vMerge w:val="continue"/>
            <w:tcBorders>
              <w:left w:val="single" w:color="auto" w:sz="4" w:space="0"/>
            </w:tcBorders>
            <w:vAlign w:val="center"/>
          </w:tcPr>
          <w:p w14:paraId="3997B8AB">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restart"/>
            <w:tcBorders>
              <w:top w:val="single" w:color="auto" w:sz="4" w:space="0"/>
              <w:right w:val="single" w:color="auto" w:sz="4" w:space="0"/>
            </w:tcBorders>
            <w:shd w:val="clear" w:color="auto" w:fill="auto"/>
            <w:vAlign w:val="center"/>
          </w:tcPr>
          <w:p w14:paraId="0F3CF19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产出指标</w:t>
            </w:r>
          </w:p>
        </w:tc>
        <w:tc>
          <w:tcPr>
            <w:tcW w:w="1372" w:type="dxa"/>
            <w:vMerge w:val="restart"/>
            <w:tcBorders>
              <w:left w:val="single" w:color="auto" w:sz="4" w:space="0"/>
            </w:tcBorders>
            <w:shd w:val="clear" w:color="auto" w:fill="auto"/>
            <w:vAlign w:val="center"/>
          </w:tcPr>
          <w:p w14:paraId="59C5DCDF">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时效指标</w:t>
            </w:r>
          </w:p>
        </w:tc>
        <w:tc>
          <w:tcPr>
            <w:tcW w:w="1938" w:type="dxa"/>
            <w:shd w:val="clear" w:color="auto" w:fill="auto"/>
            <w:vAlign w:val="center"/>
          </w:tcPr>
          <w:p w14:paraId="17D1C79B">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年度建设项目开工率</w:t>
            </w:r>
          </w:p>
        </w:tc>
        <w:tc>
          <w:tcPr>
            <w:tcW w:w="3137" w:type="dxa"/>
            <w:shd w:val="clear" w:color="auto" w:fill="auto"/>
            <w:vAlign w:val="center"/>
          </w:tcPr>
          <w:p w14:paraId="4B76FA54">
            <w:pPr>
              <w:kinsoku w:val="0"/>
              <w:autoSpaceDE w:val="0"/>
              <w:autoSpaceDN w:val="0"/>
              <w:spacing w:before="16" w:after="0" w:line="193" w:lineRule="auto"/>
              <w:jc w:val="both"/>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年度实施的项目开工情况</w:t>
            </w:r>
          </w:p>
        </w:tc>
        <w:tc>
          <w:tcPr>
            <w:tcW w:w="1247" w:type="dxa"/>
            <w:shd w:val="clear" w:color="auto" w:fill="auto"/>
            <w:vAlign w:val="center"/>
          </w:tcPr>
          <w:p w14:paraId="7415D3C0">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正向</w:t>
            </w:r>
          </w:p>
        </w:tc>
        <w:tc>
          <w:tcPr>
            <w:tcW w:w="1193" w:type="dxa"/>
            <w:shd w:val="clear" w:color="auto" w:fill="auto"/>
            <w:vAlign w:val="center"/>
          </w:tcPr>
          <w:p w14:paraId="23E4DE38">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大于等于</w:t>
            </w:r>
          </w:p>
        </w:tc>
        <w:tc>
          <w:tcPr>
            <w:tcW w:w="964" w:type="dxa"/>
            <w:shd w:val="clear" w:color="auto" w:fill="auto"/>
            <w:vAlign w:val="center"/>
          </w:tcPr>
          <w:p w14:paraId="3BE7009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100</w:t>
            </w:r>
          </w:p>
        </w:tc>
        <w:tc>
          <w:tcPr>
            <w:tcW w:w="1180" w:type="dxa"/>
            <w:shd w:val="clear" w:color="auto" w:fill="auto"/>
            <w:vAlign w:val="center"/>
          </w:tcPr>
          <w:p w14:paraId="6B239BA6">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w:t>
            </w:r>
          </w:p>
        </w:tc>
      </w:tr>
      <w:tr w14:paraId="0AEAA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012" w:type="dxa"/>
            <w:vMerge w:val="continue"/>
            <w:tcBorders>
              <w:left w:val="single" w:color="auto" w:sz="4" w:space="0"/>
            </w:tcBorders>
            <w:vAlign w:val="center"/>
          </w:tcPr>
          <w:p w14:paraId="763213A3">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continue"/>
            <w:tcBorders>
              <w:bottom w:val="single" w:color="auto" w:sz="4" w:space="0"/>
              <w:right w:val="single" w:color="auto" w:sz="4" w:space="0"/>
            </w:tcBorders>
            <w:shd w:val="clear" w:color="auto" w:fill="auto"/>
            <w:vAlign w:val="center"/>
          </w:tcPr>
          <w:p w14:paraId="3A47381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p>
        </w:tc>
        <w:tc>
          <w:tcPr>
            <w:tcW w:w="1372" w:type="dxa"/>
            <w:vMerge w:val="continue"/>
            <w:tcBorders>
              <w:left w:val="single" w:color="auto" w:sz="4" w:space="0"/>
            </w:tcBorders>
            <w:shd w:val="clear" w:color="auto" w:fill="auto"/>
            <w:vAlign w:val="center"/>
          </w:tcPr>
          <w:p w14:paraId="27948EF4">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p>
        </w:tc>
        <w:tc>
          <w:tcPr>
            <w:tcW w:w="1938" w:type="dxa"/>
            <w:shd w:val="clear" w:color="auto" w:fill="auto"/>
            <w:vAlign w:val="center"/>
          </w:tcPr>
          <w:p w14:paraId="541F4AB2">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年度建设任务完成率</w:t>
            </w:r>
          </w:p>
        </w:tc>
        <w:tc>
          <w:tcPr>
            <w:tcW w:w="3137" w:type="dxa"/>
            <w:shd w:val="clear" w:color="auto" w:fill="auto"/>
            <w:vAlign w:val="center"/>
          </w:tcPr>
          <w:p w14:paraId="10EFD24C">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rPr>
            </w:pPr>
            <w:r>
              <w:rPr>
                <w:rFonts w:hint="eastAsia" w:ascii="Times New Roman" w:hAnsi="Times New Roman" w:eastAsia="仿宋_GB2312" w:cs="Times New Roman"/>
                <w:snapToGrid w:val="0"/>
                <w:color w:val="000000"/>
                <w:spacing w:val="-2"/>
                <w:sz w:val="20"/>
                <w:szCs w:val="20"/>
                <w:lang w:val="en-US" w:eastAsia="zh-CN"/>
              </w:rPr>
              <w:t>年度实施的项目完工情况</w:t>
            </w:r>
          </w:p>
        </w:tc>
        <w:tc>
          <w:tcPr>
            <w:tcW w:w="1247" w:type="dxa"/>
            <w:shd w:val="clear" w:color="auto" w:fill="auto"/>
            <w:vAlign w:val="center"/>
          </w:tcPr>
          <w:p w14:paraId="10D10DE9">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正向</w:t>
            </w:r>
          </w:p>
        </w:tc>
        <w:tc>
          <w:tcPr>
            <w:tcW w:w="1193" w:type="dxa"/>
            <w:shd w:val="clear" w:color="auto" w:fill="auto"/>
            <w:vAlign w:val="center"/>
          </w:tcPr>
          <w:p w14:paraId="76C2B89F">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大于等于</w:t>
            </w:r>
          </w:p>
        </w:tc>
        <w:tc>
          <w:tcPr>
            <w:tcW w:w="964" w:type="dxa"/>
            <w:shd w:val="clear" w:color="auto" w:fill="auto"/>
            <w:vAlign w:val="center"/>
          </w:tcPr>
          <w:p w14:paraId="60BB4E4E">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80</w:t>
            </w:r>
          </w:p>
        </w:tc>
        <w:tc>
          <w:tcPr>
            <w:tcW w:w="1180" w:type="dxa"/>
            <w:shd w:val="clear" w:color="auto" w:fill="auto"/>
            <w:vAlign w:val="center"/>
          </w:tcPr>
          <w:p w14:paraId="5B3B283C">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w:t>
            </w:r>
          </w:p>
        </w:tc>
      </w:tr>
      <w:tr w14:paraId="6692B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5" w:hRule="atLeast"/>
        </w:trPr>
        <w:tc>
          <w:tcPr>
            <w:tcW w:w="2012" w:type="dxa"/>
            <w:vMerge w:val="continue"/>
            <w:tcBorders>
              <w:left w:val="single" w:color="auto" w:sz="4" w:space="0"/>
            </w:tcBorders>
            <w:vAlign w:val="center"/>
          </w:tcPr>
          <w:p w14:paraId="78A2A6A5">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restart"/>
            <w:tcBorders>
              <w:top w:val="single" w:color="auto" w:sz="4" w:space="0"/>
              <w:right w:val="single" w:color="auto" w:sz="4" w:space="0"/>
            </w:tcBorders>
            <w:shd w:val="clear" w:color="auto" w:fill="auto"/>
            <w:vAlign w:val="center"/>
          </w:tcPr>
          <w:p w14:paraId="4419A08C">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效益指标</w:t>
            </w:r>
          </w:p>
        </w:tc>
        <w:tc>
          <w:tcPr>
            <w:tcW w:w="1372" w:type="dxa"/>
            <w:tcBorders>
              <w:left w:val="single" w:color="auto" w:sz="4" w:space="0"/>
            </w:tcBorders>
            <w:shd w:val="clear" w:color="auto" w:fill="auto"/>
            <w:vAlign w:val="center"/>
          </w:tcPr>
          <w:p w14:paraId="55497A3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经济效益指标</w:t>
            </w:r>
          </w:p>
        </w:tc>
        <w:tc>
          <w:tcPr>
            <w:tcW w:w="1938" w:type="dxa"/>
            <w:shd w:val="clear" w:color="auto" w:fill="auto"/>
            <w:vAlign w:val="center"/>
          </w:tcPr>
          <w:p w14:paraId="135601BE">
            <w:pPr>
              <w:keepNext w:val="0"/>
              <w:keepLines w:val="0"/>
              <w:pageBreakBefore w:val="0"/>
              <w:widowControl/>
              <w:kinsoku w:val="0"/>
              <w:wordWrap/>
              <w:overflowPunct/>
              <w:topLinePunct w:val="0"/>
              <w:autoSpaceDE w:val="0"/>
              <w:autoSpaceDN w:val="0"/>
              <w:bidi w:val="0"/>
              <w:adjustRightInd w:val="0"/>
              <w:snapToGrid w:val="0"/>
              <w:spacing w:before="16" w:after="0" w:line="240" w:lineRule="auto"/>
              <w:jc w:val="both"/>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示范区内乡村产业质量效益和竞争力水平</w:t>
            </w:r>
          </w:p>
        </w:tc>
        <w:tc>
          <w:tcPr>
            <w:tcW w:w="3137" w:type="dxa"/>
            <w:shd w:val="clear" w:color="auto" w:fill="auto"/>
            <w:vAlign w:val="center"/>
          </w:tcPr>
          <w:p w14:paraId="356CA7FB">
            <w:pPr>
              <w:keepNext w:val="0"/>
              <w:keepLines w:val="0"/>
              <w:pageBreakBefore w:val="0"/>
              <w:widowControl/>
              <w:kinsoku w:val="0"/>
              <w:wordWrap/>
              <w:overflowPunct/>
              <w:topLinePunct w:val="0"/>
              <w:autoSpaceDE w:val="0"/>
              <w:autoSpaceDN w:val="0"/>
              <w:bidi w:val="0"/>
              <w:adjustRightInd w:val="0"/>
              <w:snapToGrid w:val="0"/>
              <w:spacing w:before="16" w:after="0" w:line="240" w:lineRule="auto"/>
              <w:jc w:val="both"/>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通过项目建设带动乡村产业发展，培育特色产业。</w:t>
            </w:r>
          </w:p>
        </w:tc>
        <w:tc>
          <w:tcPr>
            <w:tcW w:w="1247" w:type="dxa"/>
            <w:shd w:val="clear" w:color="auto" w:fill="auto"/>
            <w:vAlign w:val="center"/>
          </w:tcPr>
          <w:p w14:paraId="613E84B1">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正向</w:t>
            </w:r>
          </w:p>
        </w:tc>
        <w:tc>
          <w:tcPr>
            <w:tcW w:w="1193" w:type="dxa"/>
            <w:shd w:val="clear" w:color="auto" w:fill="auto"/>
            <w:vAlign w:val="center"/>
          </w:tcPr>
          <w:p w14:paraId="651ED17C">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大于等于</w:t>
            </w:r>
          </w:p>
        </w:tc>
        <w:tc>
          <w:tcPr>
            <w:tcW w:w="964" w:type="dxa"/>
            <w:shd w:val="clear" w:color="auto" w:fill="auto"/>
            <w:vAlign w:val="center"/>
          </w:tcPr>
          <w:p w14:paraId="61FD8033">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1</w:t>
            </w:r>
          </w:p>
        </w:tc>
        <w:tc>
          <w:tcPr>
            <w:tcW w:w="1180" w:type="dxa"/>
            <w:shd w:val="clear" w:color="auto" w:fill="auto"/>
            <w:vAlign w:val="center"/>
          </w:tcPr>
          <w:p w14:paraId="06549F1A">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个</w:t>
            </w:r>
          </w:p>
        </w:tc>
      </w:tr>
      <w:tr w14:paraId="3E519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trPr>
        <w:tc>
          <w:tcPr>
            <w:tcW w:w="2012" w:type="dxa"/>
            <w:vMerge w:val="continue"/>
            <w:tcBorders>
              <w:left w:val="single" w:color="auto" w:sz="4" w:space="0"/>
            </w:tcBorders>
            <w:vAlign w:val="center"/>
          </w:tcPr>
          <w:p w14:paraId="4A6206E0">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vMerge w:val="continue"/>
            <w:tcBorders>
              <w:bottom w:val="single" w:color="auto" w:sz="4" w:space="0"/>
              <w:right w:val="single" w:color="auto" w:sz="4" w:space="0"/>
            </w:tcBorders>
            <w:shd w:val="clear" w:color="auto" w:fill="auto"/>
            <w:vAlign w:val="center"/>
          </w:tcPr>
          <w:p w14:paraId="345C515C">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p>
        </w:tc>
        <w:tc>
          <w:tcPr>
            <w:tcW w:w="1372" w:type="dxa"/>
            <w:tcBorders>
              <w:left w:val="single" w:color="auto" w:sz="4" w:space="0"/>
            </w:tcBorders>
            <w:shd w:val="clear" w:color="auto" w:fill="auto"/>
            <w:vAlign w:val="center"/>
          </w:tcPr>
          <w:p w14:paraId="190146CC">
            <w:pPr>
              <w:kinsoku w:val="0"/>
              <w:autoSpaceDE w:val="0"/>
              <w:autoSpaceDN w:val="0"/>
              <w:spacing w:before="16" w:after="0" w:line="193" w:lineRule="auto"/>
              <w:jc w:val="center"/>
              <w:textAlignment w:val="baseline"/>
              <w:rPr>
                <w:rFonts w:hint="eastAsia"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可持续发展</w:t>
            </w:r>
          </w:p>
          <w:p w14:paraId="01596C72">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指标</w:t>
            </w:r>
          </w:p>
        </w:tc>
        <w:tc>
          <w:tcPr>
            <w:tcW w:w="1938" w:type="dxa"/>
            <w:shd w:val="clear" w:color="auto" w:fill="auto"/>
            <w:vAlign w:val="center"/>
          </w:tcPr>
          <w:p w14:paraId="5DDB4B8E">
            <w:pPr>
              <w:keepNext w:val="0"/>
              <w:keepLines w:val="0"/>
              <w:pageBreakBefore w:val="0"/>
              <w:widowControl/>
              <w:kinsoku w:val="0"/>
              <w:wordWrap/>
              <w:overflowPunct/>
              <w:topLinePunct w:val="0"/>
              <w:autoSpaceDE w:val="0"/>
              <w:autoSpaceDN w:val="0"/>
              <w:bidi w:val="0"/>
              <w:adjustRightInd w:val="0"/>
              <w:snapToGrid w:val="0"/>
              <w:spacing w:before="16" w:after="0" w:line="240" w:lineRule="auto"/>
              <w:jc w:val="both"/>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形成具有较大影响的乡村振兴工作领域典型案例</w:t>
            </w:r>
          </w:p>
        </w:tc>
        <w:tc>
          <w:tcPr>
            <w:tcW w:w="3137" w:type="dxa"/>
            <w:shd w:val="clear" w:color="auto" w:fill="auto"/>
            <w:vAlign w:val="center"/>
          </w:tcPr>
          <w:p w14:paraId="05B5DF48">
            <w:pPr>
              <w:keepNext w:val="0"/>
              <w:keepLines w:val="0"/>
              <w:pageBreakBefore w:val="0"/>
              <w:widowControl/>
              <w:kinsoku w:val="0"/>
              <w:wordWrap/>
              <w:overflowPunct/>
              <w:topLinePunct w:val="0"/>
              <w:autoSpaceDE w:val="0"/>
              <w:autoSpaceDN w:val="0"/>
              <w:bidi w:val="0"/>
              <w:adjustRightInd w:val="0"/>
              <w:snapToGrid w:val="0"/>
              <w:spacing w:before="16" w:after="0" w:line="240" w:lineRule="auto"/>
              <w:jc w:val="both"/>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通过项目建设总结探索形成具有较大影响的乡村振兴工作领域典型案例</w:t>
            </w:r>
          </w:p>
        </w:tc>
        <w:tc>
          <w:tcPr>
            <w:tcW w:w="1247" w:type="dxa"/>
            <w:shd w:val="clear" w:color="auto" w:fill="auto"/>
            <w:vAlign w:val="center"/>
          </w:tcPr>
          <w:p w14:paraId="61048048">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rPr>
            </w:pPr>
            <w:r>
              <w:rPr>
                <w:rFonts w:hint="eastAsia" w:ascii="Times New Roman" w:hAnsi="Times New Roman" w:eastAsia="仿宋_GB2312" w:cs="Times New Roman"/>
                <w:snapToGrid w:val="0"/>
                <w:color w:val="000000"/>
                <w:spacing w:val="-2"/>
                <w:sz w:val="20"/>
                <w:szCs w:val="20"/>
                <w:lang w:val="en-US" w:eastAsia="zh-CN"/>
              </w:rPr>
              <w:t>正向</w:t>
            </w:r>
          </w:p>
        </w:tc>
        <w:tc>
          <w:tcPr>
            <w:tcW w:w="1193" w:type="dxa"/>
            <w:shd w:val="clear" w:color="auto" w:fill="auto"/>
            <w:vAlign w:val="center"/>
          </w:tcPr>
          <w:p w14:paraId="0A93B329">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大于等于</w:t>
            </w:r>
          </w:p>
        </w:tc>
        <w:tc>
          <w:tcPr>
            <w:tcW w:w="964" w:type="dxa"/>
            <w:shd w:val="clear" w:color="auto" w:fill="auto"/>
            <w:vAlign w:val="center"/>
          </w:tcPr>
          <w:p w14:paraId="56A40715">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1</w:t>
            </w:r>
          </w:p>
        </w:tc>
        <w:tc>
          <w:tcPr>
            <w:tcW w:w="1180" w:type="dxa"/>
            <w:shd w:val="clear" w:color="auto" w:fill="auto"/>
            <w:vAlign w:val="center"/>
          </w:tcPr>
          <w:p w14:paraId="4CEAFC9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个</w:t>
            </w:r>
          </w:p>
        </w:tc>
      </w:tr>
      <w:tr w14:paraId="38293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2012" w:type="dxa"/>
            <w:vMerge w:val="continue"/>
            <w:tcBorders>
              <w:left w:val="single" w:color="auto" w:sz="4" w:space="0"/>
              <w:bottom w:val="single" w:color="auto" w:sz="4" w:space="0"/>
            </w:tcBorders>
            <w:vAlign w:val="center"/>
          </w:tcPr>
          <w:p w14:paraId="2A0E7879">
            <w:pPr>
              <w:kinsoku w:val="0"/>
              <w:autoSpaceDE w:val="0"/>
              <w:autoSpaceDN w:val="0"/>
              <w:spacing w:before="16" w:after="0" w:line="193" w:lineRule="auto"/>
              <w:ind w:left="262"/>
              <w:jc w:val="center"/>
              <w:textAlignment w:val="baseline"/>
              <w:rPr>
                <w:rFonts w:hint="default" w:ascii="Times New Roman" w:hAnsi="Times New Roman" w:eastAsia="仿宋_GB2312" w:cs="Times New Roman"/>
                <w:snapToGrid w:val="0"/>
                <w:color w:val="000000"/>
                <w:spacing w:val="-2"/>
                <w:sz w:val="20"/>
                <w:szCs w:val="20"/>
              </w:rPr>
            </w:pPr>
          </w:p>
        </w:tc>
        <w:tc>
          <w:tcPr>
            <w:tcW w:w="1352" w:type="dxa"/>
            <w:tcBorders>
              <w:top w:val="single" w:color="auto" w:sz="4" w:space="0"/>
              <w:bottom w:val="single" w:color="auto" w:sz="4" w:space="0"/>
              <w:right w:val="single" w:color="auto" w:sz="4" w:space="0"/>
            </w:tcBorders>
            <w:shd w:val="clear" w:color="auto" w:fill="auto"/>
            <w:vAlign w:val="center"/>
          </w:tcPr>
          <w:p w14:paraId="7256FB9D">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满意度指标</w:t>
            </w:r>
          </w:p>
        </w:tc>
        <w:tc>
          <w:tcPr>
            <w:tcW w:w="1372" w:type="dxa"/>
            <w:tcBorders>
              <w:left w:val="single" w:color="auto" w:sz="4" w:space="0"/>
            </w:tcBorders>
            <w:shd w:val="clear" w:color="auto" w:fill="auto"/>
            <w:vAlign w:val="center"/>
          </w:tcPr>
          <w:p w14:paraId="181B920E">
            <w:pPr>
              <w:keepNext w:val="0"/>
              <w:keepLines w:val="0"/>
              <w:pageBreakBefore w:val="0"/>
              <w:widowControl/>
              <w:kinsoku w:val="0"/>
              <w:wordWrap/>
              <w:overflowPunct/>
              <w:topLinePunct w:val="0"/>
              <w:autoSpaceDE w:val="0"/>
              <w:autoSpaceDN w:val="0"/>
              <w:bidi w:val="0"/>
              <w:adjustRightInd w:val="0"/>
              <w:snapToGrid w:val="0"/>
              <w:spacing w:before="16" w:after="0" w:line="240" w:lineRule="auto"/>
              <w:jc w:val="center"/>
              <w:textAlignment w:val="baseline"/>
              <w:rPr>
                <w:rFonts w:hint="default" w:ascii="Times New Roman" w:hAnsi="Times New Roman" w:eastAsia="仿宋_GB2312" w:cs="Times New Roman"/>
                <w:snapToGrid w:val="0"/>
                <w:color w:val="000000"/>
                <w:spacing w:val="-2"/>
                <w:sz w:val="20"/>
                <w:szCs w:val="20"/>
                <w:lang w:val="en-US" w:eastAsia="zh-CN"/>
              </w:rPr>
            </w:pPr>
            <w:r>
              <w:rPr>
                <w:rFonts w:hint="default" w:ascii="Times New Roman" w:hAnsi="Times New Roman" w:eastAsia="仿宋_GB2312" w:cs="Times New Roman"/>
                <w:snapToGrid w:val="0"/>
                <w:color w:val="000000"/>
                <w:spacing w:val="-2"/>
                <w:sz w:val="20"/>
                <w:szCs w:val="20"/>
                <w:lang w:val="en-US" w:eastAsia="zh-CN"/>
              </w:rPr>
              <w:t>服务对象满意度指标</w:t>
            </w:r>
          </w:p>
        </w:tc>
        <w:tc>
          <w:tcPr>
            <w:tcW w:w="1938" w:type="dxa"/>
            <w:shd w:val="clear" w:color="auto" w:fill="auto"/>
            <w:vAlign w:val="center"/>
          </w:tcPr>
          <w:p w14:paraId="11EB6328">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lang w:val="en-US" w:eastAsia="zh-CN"/>
              </w:rPr>
            </w:pPr>
            <w:r>
              <w:rPr>
                <w:rFonts w:hint="eastAsia" w:ascii="Times New Roman" w:hAnsi="Times New Roman" w:eastAsia="仿宋_GB2312" w:cs="Times New Roman"/>
                <w:snapToGrid w:val="0"/>
                <w:color w:val="000000"/>
                <w:spacing w:val="-2"/>
                <w:sz w:val="20"/>
                <w:szCs w:val="20"/>
                <w:lang w:val="en-US" w:eastAsia="zh-CN"/>
              </w:rPr>
              <w:t>群众满意度</w:t>
            </w:r>
          </w:p>
        </w:tc>
        <w:tc>
          <w:tcPr>
            <w:tcW w:w="3137" w:type="dxa"/>
            <w:shd w:val="clear" w:color="auto" w:fill="auto"/>
            <w:vAlign w:val="center"/>
          </w:tcPr>
          <w:p w14:paraId="4FFDF01C">
            <w:pPr>
              <w:kinsoku w:val="0"/>
              <w:autoSpaceDE w:val="0"/>
              <w:autoSpaceDN w:val="0"/>
              <w:spacing w:before="16" w:after="0" w:line="193" w:lineRule="auto"/>
              <w:jc w:val="left"/>
              <w:textAlignment w:val="baseline"/>
              <w:rPr>
                <w:rFonts w:hint="default" w:ascii="Times New Roman" w:hAnsi="Times New Roman" w:eastAsia="仿宋_GB2312" w:cs="Times New Roman"/>
                <w:snapToGrid w:val="0"/>
                <w:color w:val="000000"/>
                <w:spacing w:val="-2"/>
                <w:sz w:val="20"/>
                <w:szCs w:val="20"/>
              </w:rPr>
            </w:pPr>
            <w:r>
              <w:rPr>
                <w:rFonts w:hint="default" w:ascii="Times New Roman" w:hAnsi="Times New Roman" w:eastAsia="仿宋_GB2312" w:cs="Times New Roman"/>
                <w:snapToGrid w:val="0"/>
                <w:color w:val="000000"/>
                <w:spacing w:val="-2"/>
                <w:sz w:val="20"/>
                <w:szCs w:val="20"/>
              </w:rPr>
              <w:t>考察群众满意度情况</w:t>
            </w:r>
          </w:p>
        </w:tc>
        <w:tc>
          <w:tcPr>
            <w:tcW w:w="1247" w:type="dxa"/>
            <w:shd w:val="clear" w:color="auto" w:fill="auto"/>
            <w:vAlign w:val="center"/>
          </w:tcPr>
          <w:p w14:paraId="2AC975EE">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正向</w:t>
            </w:r>
          </w:p>
        </w:tc>
        <w:tc>
          <w:tcPr>
            <w:tcW w:w="1193" w:type="dxa"/>
            <w:shd w:val="clear" w:color="auto" w:fill="auto"/>
            <w:vAlign w:val="center"/>
          </w:tcPr>
          <w:p w14:paraId="50AEB176">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大于等于</w:t>
            </w:r>
          </w:p>
        </w:tc>
        <w:tc>
          <w:tcPr>
            <w:tcW w:w="964" w:type="dxa"/>
            <w:shd w:val="clear" w:color="auto" w:fill="auto"/>
            <w:vAlign w:val="center"/>
          </w:tcPr>
          <w:p w14:paraId="30F3EB10">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90</w:t>
            </w:r>
          </w:p>
        </w:tc>
        <w:tc>
          <w:tcPr>
            <w:tcW w:w="1180" w:type="dxa"/>
            <w:shd w:val="clear" w:color="auto" w:fill="auto"/>
            <w:vAlign w:val="center"/>
          </w:tcPr>
          <w:p w14:paraId="2EB7878E">
            <w:pPr>
              <w:kinsoku w:val="0"/>
              <w:autoSpaceDE w:val="0"/>
              <w:autoSpaceDN w:val="0"/>
              <w:spacing w:before="16" w:after="0" w:line="193" w:lineRule="auto"/>
              <w:jc w:val="center"/>
              <w:textAlignment w:val="baseline"/>
              <w:rPr>
                <w:rFonts w:hint="default" w:ascii="Times New Roman" w:hAnsi="Times New Roman" w:eastAsia="仿宋_GB2312" w:cs="Times New Roman"/>
                <w:snapToGrid w:val="0"/>
                <w:color w:val="000000"/>
                <w:spacing w:val="-2"/>
                <w:sz w:val="20"/>
                <w:szCs w:val="20"/>
                <w:lang w:val="en-US" w:eastAsia="zh-CN" w:bidi="ar-SA"/>
              </w:rPr>
            </w:pPr>
            <w:r>
              <w:rPr>
                <w:rFonts w:hint="eastAsia" w:ascii="Times New Roman" w:hAnsi="Times New Roman" w:eastAsia="仿宋_GB2312" w:cs="Times New Roman"/>
                <w:snapToGrid w:val="0"/>
                <w:color w:val="000000"/>
                <w:spacing w:val="-2"/>
                <w:sz w:val="20"/>
                <w:szCs w:val="20"/>
                <w:lang w:val="en-US" w:eastAsia="zh-CN"/>
              </w:rPr>
              <w:t>%</w:t>
            </w:r>
          </w:p>
        </w:tc>
      </w:tr>
    </w:tbl>
    <w:p w14:paraId="05BF7BD2">
      <w:pPr>
        <w:spacing w:line="560" w:lineRule="exact"/>
        <w:rPr>
          <w:rFonts w:hint="eastAsia" w:ascii="Times New Roman" w:hAnsi="Times New Roman" w:eastAsia="仿宋_GB2312" w:cs="Times New Roman"/>
          <w:sz w:val="32"/>
          <w:szCs w:val="32"/>
        </w:rPr>
        <w:sectPr>
          <w:headerReference r:id="rId5" w:type="default"/>
          <w:footerReference r:id="rId6" w:type="default"/>
          <w:pgSz w:w="16838" w:h="11906" w:orient="landscape"/>
          <w:pgMar w:top="1474" w:right="1701" w:bottom="1474" w:left="1588" w:header="709" w:footer="709" w:gutter="0"/>
          <w:pgNumType w:fmt="numberInDash"/>
          <w:cols w:space="0" w:num="1"/>
          <w:rtlGutter w:val="0"/>
          <w:docGrid w:linePitch="360" w:charSpace="0"/>
        </w:sectPr>
      </w:pPr>
    </w:p>
    <w:p w14:paraId="2DDC5FD0">
      <w:pPr>
        <w:spacing w:line="560" w:lineRule="exact"/>
        <w:rPr>
          <w:rFonts w:hint="eastAsia" w:ascii="Times New Roman" w:hAnsi="Times New Roman" w:eastAsia="仿宋_GB2312" w:cs="Times New Roman"/>
          <w:sz w:val="32"/>
          <w:szCs w:val="32"/>
        </w:rPr>
      </w:pPr>
    </w:p>
    <w:p w14:paraId="6A08C57C">
      <w:pPr>
        <w:spacing w:line="560" w:lineRule="exact"/>
        <w:rPr>
          <w:rFonts w:hint="eastAsia" w:ascii="Times New Roman" w:hAnsi="Times New Roman" w:eastAsia="仿宋_GB2312" w:cs="Times New Roman"/>
          <w:sz w:val="32"/>
          <w:szCs w:val="32"/>
        </w:rPr>
      </w:pPr>
    </w:p>
    <w:p w14:paraId="52CF3F21">
      <w:pPr>
        <w:spacing w:line="560" w:lineRule="exact"/>
        <w:rPr>
          <w:rFonts w:hint="eastAsia" w:ascii="Times New Roman" w:hAnsi="Times New Roman" w:eastAsia="仿宋_GB2312" w:cs="Times New Roman"/>
          <w:sz w:val="32"/>
          <w:szCs w:val="32"/>
        </w:rPr>
      </w:pPr>
    </w:p>
    <w:p w14:paraId="16425CD5">
      <w:pPr>
        <w:spacing w:line="560" w:lineRule="exact"/>
        <w:rPr>
          <w:rFonts w:hint="eastAsia" w:ascii="Times New Roman" w:hAnsi="Times New Roman" w:eastAsia="仿宋_GB2312" w:cs="Times New Roman"/>
          <w:sz w:val="32"/>
          <w:szCs w:val="32"/>
        </w:rPr>
      </w:pPr>
    </w:p>
    <w:p w14:paraId="663F7271">
      <w:pPr>
        <w:spacing w:line="560" w:lineRule="exact"/>
        <w:rPr>
          <w:rFonts w:hint="eastAsia" w:ascii="Times New Roman" w:hAnsi="Times New Roman" w:eastAsia="仿宋_GB2312" w:cs="Times New Roman"/>
          <w:sz w:val="32"/>
          <w:szCs w:val="32"/>
        </w:rPr>
      </w:pPr>
    </w:p>
    <w:p w14:paraId="7B7AF50E">
      <w:pPr>
        <w:spacing w:line="560" w:lineRule="exact"/>
        <w:rPr>
          <w:rFonts w:hint="eastAsia" w:ascii="Times New Roman" w:hAnsi="Times New Roman" w:eastAsia="仿宋_GB2312" w:cs="Times New Roman"/>
          <w:sz w:val="32"/>
          <w:szCs w:val="32"/>
        </w:rPr>
      </w:pPr>
    </w:p>
    <w:p w14:paraId="6F06307C">
      <w:pPr>
        <w:spacing w:line="560" w:lineRule="exact"/>
        <w:rPr>
          <w:rFonts w:hint="eastAsia" w:ascii="Times New Roman" w:hAnsi="Times New Roman" w:eastAsia="仿宋_GB2312" w:cs="Times New Roman"/>
          <w:sz w:val="32"/>
          <w:szCs w:val="32"/>
        </w:rPr>
      </w:pPr>
    </w:p>
    <w:p w14:paraId="6F87602C">
      <w:pPr>
        <w:spacing w:line="560" w:lineRule="exact"/>
        <w:rPr>
          <w:rFonts w:hint="eastAsia" w:ascii="Times New Roman" w:hAnsi="Times New Roman" w:eastAsia="仿宋_GB2312" w:cs="Times New Roman"/>
          <w:sz w:val="32"/>
          <w:szCs w:val="32"/>
        </w:rPr>
      </w:pPr>
    </w:p>
    <w:p w14:paraId="305F396C">
      <w:pPr>
        <w:spacing w:line="560" w:lineRule="exact"/>
        <w:rPr>
          <w:rFonts w:hint="eastAsia" w:ascii="Times New Roman" w:hAnsi="Times New Roman" w:eastAsia="仿宋_GB2312" w:cs="Times New Roman"/>
          <w:sz w:val="32"/>
          <w:szCs w:val="32"/>
        </w:rPr>
      </w:pPr>
    </w:p>
    <w:p w14:paraId="18835640">
      <w:pPr>
        <w:spacing w:line="560" w:lineRule="exact"/>
        <w:rPr>
          <w:rFonts w:hint="eastAsia" w:ascii="Times New Roman" w:hAnsi="Times New Roman" w:eastAsia="仿宋_GB2312" w:cs="Times New Roman"/>
          <w:sz w:val="32"/>
          <w:szCs w:val="32"/>
        </w:rPr>
      </w:pPr>
    </w:p>
    <w:p w14:paraId="64468681">
      <w:pPr>
        <w:spacing w:line="560" w:lineRule="exact"/>
        <w:rPr>
          <w:rFonts w:hint="eastAsia" w:ascii="Times New Roman" w:hAnsi="Times New Roman" w:eastAsia="仿宋_GB2312" w:cs="Times New Roman"/>
          <w:sz w:val="32"/>
          <w:szCs w:val="32"/>
        </w:rPr>
      </w:pPr>
    </w:p>
    <w:p w14:paraId="67BAD624">
      <w:pPr>
        <w:pStyle w:val="2"/>
        <w:rPr>
          <w:rFonts w:hint="eastAsia" w:ascii="Times New Roman" w:hAnsi="Times New Roman" w:eastAsia="仿宋_GB2312" w:cs="Times New Roman"/>
          <w:sz w:val="32"/>
          <w:szCs w:val="32"/>
        </w:rPr>
      </w:pPr>
    </w:p>
    <w:p w14:paraId="6CF88B0B">
      <w:pPr>
        <w:pStyle w:val="2"/>
        <w:rPr>
          <w:rFonts w:hint="eastAsia" w:ascii="Times New Roman" w:hAnsi="Times New Roman" w:eastAsia="仿宋_GB2312" w:cs="Times New Roman"/>
          <w:sz w:val="32"/>
          <w:szCs w:val="32"/>
        </w:rPr>
      </w:pPr>
    </w:p>
    <w:p w14:paraId="1B7CB5B7">
      <w:pPr>
        <w:pStyle w:val="2"/>
        <w:rPr>
          <w:rFonts w:hint="eastAsia" w:ascii="Times New Roman" w:hAnsi="Times New Roman" w:eastAsia="仿宋_GB2312" w:cs="Times New Roman"/>
          <w:sz w:val="32"/>
          <w:szCs w:val="32"/>
        </w:rPr>
      </w:pPr>
    </w:p>
    <w:p w14:paraId="5C601C53">
      <w:pPr>
        <w:pStyle w:val="2"/>
        <w:rPr>
          <w:rFonts w:hint="eastAsia" w:ascii="Times New Roman" w:hAnsi="Times New Roman" w:eastAsia="仿宋_GB2312" w:cs="Times New Roman"/>
          <w:sz w:val="32"/>
          <w:szCs w:val="32"/>
        </w:rPr>
      </w:pPr>
    </w:p>
    <w:p w14:paraId="4B09405A">
      <w:pPr>
        <w:pStyle w:val="2"/>
        <w:rPr>
          <w:rFonts w:hint="eastAsia" w:ascii="Times New Roman" w:hAnsi="Times New Roman" w:eastAsia="仿宋_GB2312" w:cs="Times New Roman"/>
          <w:sz w:val="32"/>
          <w:szCs w:val="32"/>
        </w:rPr>
      </w:pPr>
    </w:p>
    <w:p w14:paraId="73081557">
      <w:pPr>
        <w:pStyle w:val="2"/>
        <w:rPr>
          <w:rFonts w:hint="eastAsia" w:ascii="Times New Roman" w:hAnsi="Times New Roman" w:eastAsia="仿宋_GB2312" w:cs="Times New Roman"/>
          <w:sz w:val="32"/>
          <w:szCs w:val="32"/>
        </w:rPr>
      </w:pPr>
    </w:p>
    <w:p w14:paraId="548090CC">
      <w:pPr>
        <w:pStyle w:val="2"/>
        <w:rPr>
          <w:rFonts w:hint="eastAsia" w:ascii="Times New Roman" w:hAnsi="Times New Roman" w:eastAsia="仿宋_GB2312" w:cs="Times New Roman"/>
          <w:sz w:val="32"/>
          <w:szCs w:val="32"/>
        </w:rPr>
      </w:pPr>
    </w:p>
    <w:p w14:paraId="6CD4622A">
      <w:pPr>
        <w:pStyle w:val="2"/>
        <w:rPr>
          <w:rFonts w:hint="eastAsia" w:ascii="Times New Roman" w:hAnsi="Times New Roman" w:eastAsia="仿宋_GB2312" w:cs="Times New Roman"/>
          <w:sz w:val="32"/>
          <w:szCs w:val="32"/>
        </w:rPr>
      </w:pPr>
    </w:p>
    <w:p w14:paraId="3D55EA2A">
      <w:pPr>
        <w:spacing w:line="560" w:lineRule="exact"/>
        <w:rPr>
          <w:rFonts w:hint="eastAsia" w:ascii="Times New Roman" w:hAnsi="Times New Roman" w:eastAsia="仿宋_GB2312" w:cs="Times New Roman"/>
          <w:sz w:val="32"/>
          <w:szCs w:val="32"/>
        </w:rPr>
      </w:pPr>
    </w:p>
    <w:p w14:paraId="1C594701">
      <w:pPr>
        <w:spacing w:line="560" w:lineRule="exact"/>
        <w:rPr>
          <w:rFonts w:hint="eastAsia" w:ascii="Times New Roman" w:hAnsi="Times New Roman" w:eastAsia="仿宋_GB2312" w:cs="Times New Roman"/>
          <w:sz w:val="32"/>
          <w:szCs w:val="32"/>
        </w:rPr>
      </w:pPr>
      <w:r>
        <mc:AlternateContent>
          <mc:Choice Requires="wps">
            <w:drawing>
              <wp:anchor distT="0" distB="0" distL="114300" distR="114300" simplePos="0" relativeHeight="251661312" behindDoc="0" locked="0" layoutInCell="1" allowOverlap="1">
                <wp:simplePos x="0" y="0"/>
                <wp:positionH relativeFrom="column">
                  <wp:posOffset>-85725</wp:posOffset>
                </wp:positionH>
                <wp:positionV relativeFrom="paragraph">
                  <wp:posOffset>469265</wp:posOffset>
                </wp:positionV>
                <wp:extent cx="5415915" cy="3175"/>
                <wp:effectExtent l="0" t="0" r="0" b="0"/>
                <wp:wrapNone/>
                <wp:docPr id="4" name="直线 2"/>
                <wp:cNvGraphicFramePr/>
                <a:graphic xmlns:a="http://schemas.openxmlformats.org/drawingml/2006/main">
                  <a:graphicData uri="http://schemas.microsoft.com/office/word/2010/wordprocessingShape">
                    <wps:wsp>
                      <wps:cNvCnPr/>
                      <wps:spPr>
                        <a:xfrm>
                          <a:off x="0" y="0"/>
                          <a:ext cx="5415915" cy="317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margin-left:-6.75pt;margin-top:36.95pt;height:0.25pt;width:426.45pt;z-index:251661312;mso-width-relative:page;mso-height-relative:page;" filled="f" stroked="t" coordsize="21600,21600" o:gfxdata="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Wbjo1NkAAAAJAQAADwAAAAAAAAABACAAAAAiAAAAZHJzL2Rvd25yZXYueG1sUEsBAhQAFAAA&#10;AAgAh07iQBGZ2jHuAQAA7AMAAA4AAAAAAAAAAQAgAAAAKAEAAGRycy9lMm9Eb2MueG1sUEsFBgAA&#10;AAAGAAYAWQEAAIgFAAAAAA==&#10;">
                <v:fill on="f" focussize="0,0"/>
                <v:stroke color="#000000" joinstyle="round"/>
                <v:imagedata o:title=""/>
                <o:lock v:ext="edit" aspectratio="f"/>
              </v:line>
            </w:pict>
          </mc:Fallback>
        </mc:AlternateContent>
      </w:r>
    </w:p>
    <w:p w14:paraId="68EF83C5">
      <w:pPr>
        <w:spacing w:line="600" w:lineRule="exact"/>
        <w:rPr>
          <w:rFonts w:hint="eastAsia" w:ascii="Times New Roman" w:hAnsi="Times New Roman" w:eastAsia="仿宋_GB2312" w:cs="Times New Roman"/>
          <w:sz w:val="28"/>
          <w:szCs w:val="28"/>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-104775</wp:posOffset>
                </wp:positionH>
                <wp:positionV relativeFrom="paragraph">
                  <wp:posOffset>443865</wp:posOffset>
                </wp:positionV>
                <wp:extent cx="5415915" cy="3175"/>
                <wp:effectExtent l="0" t="0" r="0" b="0"/>
                <wp:wrapNone/>
                <wp:docPr id="1" name="直线 2"/>
                <wp:cNvGraphicFramePr/>
                <a:graphic xmlns:a="http://schemas.openxmlformats.org/drawingml/2006/main">
                  <a:graphicData uri="http://schemas.microsoft.com/office/word/2010/wordprocessingShape">
                    <wps:wsp>
                      <wps:cNvCnPr/>
                      <wps:spPr>
                        <a:xfrm>
                          <a:off x="0" y="0"/>
                          <a:ext cx="5415915" cy="317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margin-left:-8.25pt;margin-top:34.95pt;height:0.25pt;width:426.45pt;z-index:251660288;mso-width-relative:page;mso-height-relative:page;" filled="f" stroked="t" coordsize="21600,21600" o:gfxdata="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ns0FY2QAAAAkBAAAPAAAAAAAAAAEAIAAAACIAAABkcnMvZG93bnJldi54bWxQSwECFAAUAAAA&#10;CACHTuJAvgoOte0BAADsAwAADgAAAAAAAAABACAAAAAoAQAAZHJzL2Uyb0RvYy54bWxQSwUGAAAA&#10;AAYABgBZAQAAhwUA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w:t xml:space="preserve">安溪县农业农村局办公室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日印</w:t>
      </w:r>
      <w:r>
        <w:rPr>
          <w:rFonts w:hint="eastAsia" w:ascii="仿宋_GB2312" w:hAnsi="仿宋_GB2312" w:eastAsia="仿宋_GB2312" w:cs="仿宋_GB2312"/>
          <w:sz w:val="28"/>
          <w:szCs w:val="28"/>
          <w:lang w:val="en-US" w:eastAsia="zh-CN"/>
        </w:rPr>
        <w:t>发</w:t>
      </w:r>
    </w:p>
    <w:sectPr>
      <w:pgSz w:w="11906" w:h="16838"/>
      <w:pgMar w:top="1587" w:right="1814" w:bottom="1587" w:left="1984" w:header="709" w:footer="709" w:gutter="0"/>
      <w:pgNumType w:fmt="numberInDash"/>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2010600030101010101"/>
    <w:charset w:val="7A"/>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08" w:usb3="00000000" w:csb0="200101FF" w:csb1="20280000"/>
  </w:font>
  <w:font w:name="noto sans thai">
    <w:panose1 w:val="020B0502040504020204"/>
    <w:charset w:val="00"/>
    <w:family w:val="auto"/>
    <w:pitch w:val="default"/>
    <w:sig w:usb0="81000063" w:usb1="00002000" w:usb2="00000000" w:usb3="00000000" w:csb0="0001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EED89">
    <w:pPr>
      <w:pStyle w:val="5"/>
      <w:rPr>
        <w:rFonts w:ascii="宋体" w:hAnsi="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87DFE">
                          <w:pPr>
                            <w:pStyle w:val="5"/>
                            <w:rPr>
                              <w:rFonts w:hint="eastAsia" w:eastAsia="微软雅黑"/>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2587DFE">
                    <w:pPr>
                      <w:pStyle w:val="5"/>
                      <w:rPr>
                        <w:rFonts w:hint="eastAsia" w:eastAsia="微软雅黑"/>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6E51">
    <w:pPr>
      <w:pStyle w:val="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AE0DE">
                          <w:pPr>
                            <w:pStyle w:val="5"/>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AAE0DE">
                    <w:pPr>
                      <w:pStyle w:val="5"/>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- 4 -</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4408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NotTrackMoves/>
  <w:documentProtection w:enforcement="0"/>
  <w:defaultTabStop w:val="720"/>
  <w:doNotHyphenateCaps/>
  <w:drawingGridHorizontalSpacing w:val="110"/>
  <w:displayHorizontalDrawingGridEvery w:val="1"/>
  <w:displayVerticalDrawingGridEvery w:val="1"/>
  <w:noPunctuationKerning w:val="1"/>
  <w:characterSpacingControl w:val="doNotCompress"/>
  <w:noLineBreaksAfter w:lang="zh-CN" w:val="$([{£¥·‘“〈《「『【〔〖〝﹙﹛﹝＄（．［｛￡￥"/>
  <w:noLineBreaksBefore w:lang="zh-CN" w:val="!%),.:;&gt;?]}¢¨°·ˇˉ―‖’”…‰′″›℃∶、。〃〉》」』】〕〗〞︶︺︾﹀﹄﹚﹜﹞！＂％＇），．：；？］｀｜｝～￠"/>
  <w:doNotValidateAgainstSchema/>
  <w:doNotDemarcateInvalidXml/>
  <w:hdrShapeDefaults>
    <o:shapelayout v:ext="edit">
      <o:idmap v:ext="edit" data="2"/>
    </o:shapelayout>
  </w:hdrShapeDefaults>
  <w:footnotePr>
    <w:footnote w:id="0"/>
    <w:footnote w:id="1"/>
  </w:footnotePr>
  <w:compat>
    <w:doNotExpandShiftReturn/>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WQwZDRjNmRlM2NjZTk0ZjQ1YWI4ZjM0ZTk2YzAifQ=="/>
    <w:docVar w:name="KSO_WPS_MARK_KEY" w:val="c1a9980b-0984-48a4-81b3-34ba6246b3ee"/>
  </w:docVars>
  <w:rsids>
    <w:rsidRoot w:val="00D31D50"/>
    <w:rsid w:val="00004B8D"/>
    <w:rsid w:val="00012B66"/>
    <w:rsid w:val="00026857"/>
    <w:rsid w:val="00030C80"/>
    <w:rsid w:val="0003292C"/>
    <w:rsid w:val="00040F20"/>
    <w:rsid w:val="0007670B"/>
    <w:rsid w:val="00085B1D"/>
    <w:rsid w:val="000865BD"/>
    <w:rsid w:val="00097266"/>
    <w:rsid w:val="000B577E"/>
    <w:rsid w:val="000C479E"/>
    <w:rsid w:val="000F3083"/>
    <w:rsid w:val="001012A7"/>
    <w:rsid w:val="001012C6"/>
    <w:rsid w:val="0010326A"/>
    <w:rsid w:val="00105313"/>
    <w:rsid w:val="00116F53"/>
    <w:rsid w:val="00137AC7"/>
    <w:rsid w:val="00141DF6"/>
    <w:rsid w:val="00183664"/>
    <w:rsid w:val="0019755C"/>
    <w:rsid w:val="001A43F8"/>
    <w:rsid w:val="001C28B4"/>
    <w:rsid w:val="001C3E07"/>
    <w:rsid w:val="001C5506"/>
    <w:rsid w:val="002164E8"/>
    <w:rsid w:val="00220A19"/>
    <w:rsid w:val="0022138C"/>
    <w:rsid w:val="002C23AE"/>
    <w:rsid w:val="002E4038"/>
    <w:rsid w:val="00306B2C"/>
    <w:rsid w:val="00312C39"/>
    <w:rsid w:val="00323B43"/>
    <w:rsid w:val="00331B94"/>
    <w:rsid w:val="003506CB"/>
    <w:rsid w:val="00355120"/>
    <w:rsid w:val="0036008E"/>
    <w:rsid w:val="00364F81"/>
    <w:rsid w:val="00370654"/>
    <w:rsid w:val="00376CE2"/>
    <w:rsid w:val="0039122D"/>
    <w:rsid w:val="0039719F"/>
    <w:rsid w:val="003B3376"/>
    <w:rsid w:val="003D196D"/>
    <w:rsid w:val="003D37D8"/>
    <w:rsid w:val="003E3C01"/>
    <w:rsid w:val="003E4DA0"/>
    <w:rsid w:val="00402D4A"/>
    <w:rsid w:val="00426133"/>
    <w:rsid w:val="0043339A"/>
    <w:rsid w:val="0043408A"/>
    <w:rsid w:val="004358AB"/>
    <w:rsid w:val="004622B5"/>
    <w:rsid w:val="00475600"/>
    <w:rsid w:val="004A002C"/>
    <w:rsid w:val="004A0259"/>
    <w:rsid w:val="004B1513"/>
    <w:rsid w:val="004C48C8"/>
    <w:rsid w:val="004C55B8"/>
    <w:rsid w:val="004E3749"/>
    <w:rsid w:val="004E522C"/>
    <w:rsid w:val="004F05E0"/>
    <w:rsid w:val="004F6FDC"/>
    <w:rsid w:val="005055BB"/>
    <w:rsid w:val="00522D1A"/>
    <w:rsid w:val="00532F39"/>
    <w:rsid w:val="00552A44"/>
    <w:rsid w:val="00585513"/>
    <w:rsid w:val="0059156C"/>
    <w:rsid w:val="005C7DBB"/>
    <w:rsid w:val="005E5473"/>
    <w:rsid w:val="005F6143"/>
    <w:rsid w:val="00601B8F"/>
    <w:rsid w:val="006427CC"/>
    <w:rsid w:val="00664172"/>
    <w:rsid w:val="0066531B"/>
    <w:rsid w:val="0066554D"/>
    <w:rsid w:val="006753B1"/>
    <w:rsid w:val="006759D8"/>
    <w:rsid w:val="00682795"/>
    <w:rsid w:val="006E53B5"/>
    <w:rsid w:val="007104F9"/>
    <w:rsid w:val="00731381"/>
    <w:rsid w:val="00766CFE"/>
    <w:rsid w:val="00771A98"/>
    <w:rsid w:val="007852AE"/>
    <w:rsid w:val="007C22D2"/>
    <w:rsid w:val="007D0CC1"/>
    <w:rsid w:val="007E18E3"/>
    <w:rsid w:val="00814002"/>
    <w:rsid w:val="00817313"/>
    <w:rsid w:val="008176F8"/>
    <w:rsid w:val="00821F80"/>
    <w:rsid w:val="00832BF4"/>
    <w:rsid w:val="00842624"/>
    <w:rsid w:val="00860E9A"/>
    <w:rsid w:val="008659D6"/>
    <w:rsid w:val="00874410"/>
    <w:rsid w:val="00876F14"/>
    <w:rsid w:val="0087752B"/>
    <w:rsid w:val="00894B05"/>
    <w:rsid w:val="008A20BC"/>
    <w:rsid w:val="008A7A79"/>
    <w:rsid w:val="008B7726"/>
    <w:rsid w:val="008C689B"/>
    <w:rsid w:val="0091095A"/>
    <w:rsid w:val="009136E8"/>
    <w:rsid w:val="00917B71"/>
    <w:rsid w:val="00920196"/>
    <w:rsid w:val="00936A06"/>
    <w:rsid w:val="009449BF"/>
    <w:rsid w:val="00954178"/>
    <w:rsid w:val="0097143E"/>
    <w:rsid w:val="0097164D"/>
    <w:rsid w:val="00974C17"/>
    <w:rsid w:val="00975C70"/>
    <w:rsid w:val="00982002"/>
    <w:rsid w:val="0099661C"/>
    <w:rsid w:val="009C0C4E"/>
    <w:rsid w:val="009E6CA1"/>
    <w:rsid w:val="009F000E"/>
    <w:rsid w:val="009F4390"/>
    <w:rsid w:val="00A169EC"/>
    <w:rsid w:val="00A36AA8"/>
    <w:rsid w:val="00A36F20"/>
    <w:rsid w:val="00A81DF9"/>
    <w:rsid w:val="00AA0D73"/>
    <w:rsid w:val="00AA7E85"/>
    <w:rsid w:val="00AB3212"/>
    <w:rsid w:val="00AC1FC8"/>
    <w:rsid w:val="00AC35F5"/>
    <w:rsid w:val="00AE0ADF"/>
    <w:rsid w:val="00AE6584"/>
    <w:rsid w:val="00AF4EDA"/>
    <w:rsid w:val="00B04CB9"/>
    <w:rsid w:val="00B17A7E"/>
    <w:rsid w:val="00B23A3B"/>
    <w:rsid w:val="00B257C1"/>
    <w:rsid w:val="00B26CFB"/>
    <w:rsid w:val="00B457C8"/>
    <w:rsid w:val="00B47579"/>
    <w:rsid w:val="00B51EFD"/>
    <w:rsid w:val="00B53A18"/>
    <w:rsid w:val="00B7440C"/>
    <w:rsid w:val="00BA1A4E"/>
    <w:rsid w:val="00C05A30"/>
    <w:rsid w:val="00C30B89"/>
    <w:rsid w:val="00C46E4D"/>
    <w:rsid w:val="00C61BC0"/>
    <w:rsid w:val="00C9266A"/>
    <w:rsid w:val="00C97ACB"/>
    <w:rsid w:val="00CA4D32"/>
    <w:rsid w:val="00CC0BC7"/>
    <w:rsid w:val="00CC39AC"/>
    <w:rsid w:val="00CD2BAA"/>
    <w:rsid w:val="00CE2D3D"/>
    <w:rsid w:val="00CF7548"/>
    <w:rsid w:val="00D151CC"/>
    <w:rsid w:val="00D15D1B"/>
    <w:rsid w:val="00D257D6"/>
    <w:rsid w:val="00D27550"/>
    <w:rsid w:val="00D308F7"/>
    <w:rsid w:val="00D31D50"/>
    <w:rsid w:val="00D5180F"/>
    <w:rsid w:val="00D63045"/>
    <w:rsid w:val="00D73A42"/>
    <w:rsid w:val="00DA5D27"/>
    <w:rsid w:val="00DC6E2B"/>
    <w:rsid w:val="00DD7993"/>
    <w:rsid w:val="00DF3FDA"/>
    <w:rsid w:val="00E02F59"/>
    <w:rsid w:val="00E421C1"/>
    <w:rsid w:val="00E47B94"/>
    <w:rsid w:val="00E60285"/>
    <w:rsid w:val="00E72F53"/>
    <w:rsid w:val="00E81BF4"/>
    <w:rsid w:val="00E831F1"/>
    <w:rsid w:val="00EB1FDB"/>
    <w:rsid w:val="00EC307B"/>
    <w:rsid w:val="00F13D8D"/>
    <w:rsid w:val="00F71966"/>
    <w:rsid w:val="00F8152A"/>
    <w:rsid w:val="00FB2525"/>
    <w:rsid w:val="00FC70B1"/>
    <w:rsid w:val="00FD0875"/>
    <w:rsid w:val="00FD220F"/>
    <w:rsid w:val="00FF3845"/>
    <w:rsid w:val="03352594"/>
    <w:rsid w:val="0C1E558E"/>
    <w:rsid w:val="0D453F77"/>
    <w:rsid w:val="0DD27F73"/>
    <w:rsid w:val="10E33FB9"/>
    <w:rsid w:val="1235133C"/>
    <w:rsid w:val="144F708D"/>
    <w:rsid w:val="18163111"/>
    <w:rsid w:val="19610E8A"/>
    <w:rsid w:val="1E4206A7"/>
    <w:rsid w:val="1F95155F"/>
    <w:rsid w:val="2102357F"/>
    <w:rsid w:val="24494677"/>
    <w:rsid w:val="2E982260"/>
    <w:rsid w:val="3114752D"/>
    <w:rsid w:val="31BA6D3F"/>
    <w:rsid w:val="32FC3D92"/>
    <w:rsid w:val="34510EA5"/>
    <w:rsid w:val="34B23386"/>
    <w:rsid w:val="39FF8FE7"/>
    <w:rsid w:val="3B693BF6"/>
    <w:rsid w:val="3DD03F78"/>
    <w:rsid w:val="3E935609"/>
    <w:rsid w:val="40BB330B"/>
    <w:rsid w:val="41646838"/>
    <w:rsid w:val="42FF655D"/>
    <w:rsid w:val="463A635E"/>
    <w:rsid w:val="46647A6F"/>
    <w:rsid w:val="49BB2FB0"/>
    <w:rsid w:val="4A0D5A0D"/>
    <w:rsid w:val="4AB83123"/>
    <w:rsid w:val="4B476E39"/>
    <w:rsid w:val="522C16C9"/>
    <w:rsid w:val="53D56B2B"/>
    <w:rsid w:val="54506523"/>
    <w:rsid w:val="557755CD"/>
    <w:rsid w:val="5C313545"/>
    <w:rsid w:val="616478BC"/>
    <w:rsid w:val="641406DD"/>
    <w:rsid w:val="66E45F7A"/>
    <w:rsid w:val="6A732273"/>
    <w:rsid w:val="6DAB182B"/>
    <w:rsid w:val="6DFF9771"/>
    <w:rsid w:val="751E5713"/>
    <w:rsid w:val="794E7423"/>
    <w:rsid w:val="7A8859A0"/>
    <w:rsid w:val="7B75797C"/>
    <w:rsid w:val="7F92398C"/>
    <w:rsid w:val="7FA22613"/>
    <w:rsid w:val="E3E97990"/>
    <w:rsid w:val="EE2E65C1"/>
    <w:rsid w:val="FFF243B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ahoma"/>
      <w:sz w:val="22"/>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customStyle="1" w:styleId="2">
    <w:name w:val="BodyText1I2"/>
    <w:basedOn w:val="3"/>
    <w:qFormat/>
    <w:uiPriority w:val="99"/>
    <w:pPr>
      <w:spacing w:after="0"/>
      <w:ind w:left="0" w:leftChars="0" w:firstLine="420" w:firstLineChars="200"/>
    </w:pPr>
    <w:rPr>
      <w:rFonts w:ascii="宋体" w:hAnsi="宋体"/>
      <w:sz w:val="28"/>
      <w:szCs w:val="28"/>
    </w:rPr>
  </w:style>
  <w:style w:type="paragraph" w:customStyle="1" w:styleId="3">
    <w:name w:val="BodyTextIndent"/>
    <w:basedOn w:val="1"/>
    <w:qFormat/>
    <w:uiPriority w:val="99"/>
    <w:pPr>
      <w:spacing w:after="120"/>
      <w:ind w:left="420" w:leftChars="200"/>
      <w:textAlignment w:val="baseline"/>
    </w:pPr>
  </w:style>
  <w:style w:type="paragraph" w:styleId="4">
    <w:name w:val="Date"/>
    <w:basedOn w:val="1"/>
    <w:next w:val="1"/>
    <w:link w:val="11"/>
    <w:semiHidden/>
    <w:qFormat/>
    <w:uiPriority w:val="99"/>
    <w:pPr>
      <w:ind w:left="100" w:leftChars="2500"/>
    </w:pPr>
  </w:style>
  <w:style w:type="paragraph" w:styleId="5">
    <w:name w:val="footer"/>
    <w:basedOn w:val="1"/>
    <w:link w:val="12"/>
    <w:semiHidden/>
    <w:qFormat/>
    <w:uiPriority w:val="99"/>
    <w:pPr>
      <w:tabs>
        <w:tab w:val="center" w:pos="4153"/>
        <w:tab w:val="right" w:pos="8306"/>
      </w:tabs>
    </w:pPr>
    <w:rPr>
      <w:sz w:val="18"/>
      <w:szCs w:val="18"/>
    </w:rPr>
  </w:style>
  <w:style w:type="paragraph" w:styleId="6">
    <w:name w:val="header"/>
    <w:basedOn w:val="1"/>
    <w:link w:val="13"/>
    <w:semiHidden/>
    <w:qFormat/>
    <w:uiPriority w:val="99"/>
    <w:pPr>
      <w:pBdr>
        <w:bottom w:val="single" w:color="auto" w:sz="6" w:space="1"/>
      </w:pBdr>
      <w:tabs>
        <w:tab w:val="center" w:pos="4153"/>
        <w:tab w:val="right" w:pos="8306"/>
      </w:tabs>
      <w:jc w:val="center"/>
    </w:pPr>
    <w:rPr>
      <w:sz w:val="18"/>
      <w:szCs w:val="18"/>
    </w:rPr>
  </w:style>
  <w:style w:type="table" w:styleId="8">
    <w:name w:val="Table Grid"/>
    <w:basedOn w:val="7"/>
    <w:qFormat/>
    <w:uiPriority w:val="9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99"/>
    <w:rPr>
      <w:rFonts w:cs="Times New Roman"/>
    </w:rPr>
  </w:style>
  <w:style w:type="character" w:customStyle="1" w:styleId="11">
    <w:name w:val="日期 Char"/>
    <w:basedOn w:val="9"/>
    <w:link w:val="4"/>
    <w:semiHidden/>
    <w:qFormat/>
    <w:locked/>
    <w:uiPriority w:val="99"/>
    <w:rPr>
      <w:rFonts w:ascii="Tahoma" w:hAnsi="Tahoma" w:cs="Tahoma"/>
    </w:rPr>
  </w:style>
  <w:style w:type="character" w:customStyle="1" w:styleId="12">
    <w:name w:val="页脚 Char"/>
    <w:basedOn w:val="9"/>
    <w:link w:val="5"/>
    <w:semiHidden/>
    <w:qFormat/>
    <w:locked/>
    <w:uiPriority w:val="99"/>
    <w:rPr>
      <w:rFonts w:ascii="Tahoma" w:hAnsi="Tahoma" w:cs="Tahoma"/>
      <w:sz w:val="18"/>
      <w:szCs w:val="18"/>
    </w:rPr>
  </w:style>
  <w:style w:type="character" w:customStyle="1" w:styleId="13">
    <w:name w:val="页眉 Char"/>
    <w:basedOn w:val="9"/>
    <w:link w:val="6"/>
    <w:semiHidden/>
    <w:qFormat/>
    <w:locked/>
    <w:uiPriority w:val="99"/>
    <w:rPr>
      <w:rFonts w:ascii="Tahoma" w:hAnsi="Tahoma" w:cs="Tahoma"/>
      <w:sz w:val="18"/>
      <w:szCs w:val="18"/>
    </w:rPr>
  </w:style>
  <w:style w:type="table" w:customStyle="1" w:styleId="14">
    <w:name w:val="Table Normal1"/>
    <w:semiHidden/>
    <w:qFormat/>
    <w:uiPriority w:val="99"/>
    <w:rPr>
      <w:rFonts w:ascii="Arial" w:hAnsi="Arial" w:eastAsia="宋体" w:cs="Arial"/>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146cc6a9-c161-4b57-a1a4-8018eb64288a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72AB9634</paraID>
      <start xmlns="http://schemas.wps.cn/vas-ai-hub/contract-review">95</start>
      <end xmlns="http://schemas.wps.cn/vas-ai-hub/contract-review">96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77ce4f9f-7aea-41ba-a2aa-e916ee12874a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72AB9634</paraID>
      <start xmlns="http://schemas.wps.cn/vas-ai-hub/contract-review">107</start>
      <end xmlns="http://schemas.wps.cn/vas-ai-hub/contract-review">108</end>
      <status xmlns="http://schemas.wps.cn/vas-ai-hub/contract-review">modified</status>
      <modifiedWord xmlns="http://schemas.wps.cn/vas-ai-hub/contract-review">）</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b5f3b8-d7a0-4538-8aec-f0e6e3130714}">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1120</Words>
  <Characters>1185</Characters>
  <Lines>2</Lines>
  <Paragraphs>1</Paragraphs>
  <TotalTime>0</TotalTime>
  <ScaleCrop>false</ScaleCrop>
  <LinksUpToDate>false</LinksUpToDate>
  <CharactersWithSpaces>1201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2021-06-19T09:31:00Z</dcterms:created>
  <dc:creator>Windows User</dc:creator>
  <cp:lastModifiedBy>user</cp:lastModifiedBy>
  <cp:lastPrinted>2026-09-08T03:20:00Z</cp:lastPrinted>
  <dcterms:modified xsi:type="dcterms:W3CDTF">2026-09-09T10:15:02Z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F93CA30017D34B4A8CF4DADE4B57CC9D_13</vt:lpwstr>
  </property>
  <property fmtid="{D5CDD505-2E9C-101B-9397-08002B2CF9AE}" pid="4" name="KSOTemplateDocerSaveRecord">
    <vt:lpwstr>eyJoZGlkIjoiZGQwMDhlMTlmZGQ5MzNlMzVlM2NlNmI4ZWU2ZDg0YWIiLCJ1c2VySWQiOiIyNzc4MTI4MjEifQ==</vt:lpwstr>
  </property>
</Properties>
</file>