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2A10E6F">
      <w:pPr>
        <w:keepNext w:val="0"/>
        <w:keepLines w:val="0"/>
        <w:pageBreakBefore w:val="0"/>
        <w:widowControl w:val="0"/>
        <w:kinsoku/>
        <w:wordWrap/>
        <w:overflowPunct/>
        <w:topLinePunct w:val="0"/>
        <w:autoSpaceDE/>
        <w:autoSpaceDN/>
        <w:bidi w:val="0"/>
        <w:spacing w:line="560" w:lineRule="exact"/>
        <w:ind w:firstLine="320" w:firstLineChars="100"/>
        <w:textAlignment w:val="auto"/>
        <w:rPr>
          <w:rFonts w:hint="eastAsia" w:ascii="仿宋_GB2312" w:hAnsi="方正粗黑宋简体" w:eastAsia="仿宋_GB2312" w:cs="方正粗黑宋简体"/>
          <w:sz w:val="32"/>
          <w:szCs w:val="32"/>
        </w:rPr>
      </w:pPr>
    </w:p>
    <w:p w14:paraId="17414478">
      <w:pPr>
        <w:keepNext w:val="0"/>
        <w:keepLines w:val="0"/>
        <w:pageBreakBefore w:val="0"/>
        <w:widowControl w:val="0"/>
        <w:kinsoku/>
        <w:wordWrap/>
        <w:overflowPunct/>
        <w:topLinePunct w:val="0"/>
        <w:autoSpaceDE/>
        <w:autoSpaceDN/>
        <w:bidi w:val="0"/>
        <w:spacing w:line="560" w:lineRule="exact"/>
        <w:ind w:firstLine="320" w:firstLineChars="100"/>
        <w:textAlignment w:val="auto"/>
        <w:rPr>
          <w:rFonts w:hint="eastAsia" w:ascii="仿宋_GB2312" w:hAnsi="方正粗黑宋简体" w:eastAsia="仿宋_GB2312" w:cs="方正粗黑宋简体"/>
          <w:sz w:val="32"/>
          <w:szCs w:val="32"/>
        </w:rPr>
      </w:pPr>
    </w:p>
    <w:p w14:paraId="643C1A89">
      <w:pPr>
        <w:keepNext w:val="0"/>
        <w:keepLines w:val="0"/>
        <w:pageBreakBefore w:val="0"/>
        <w:widowControl w:val="0"/>
        <w:kinsoku/>
        <w:wordWrap/>
        <w:overflowPunct/>
        <w:topLinePunct w:val="0"/>
        <w:autoSpaceDE/>
        <w:autoSpaceDN/>
        <w:bidi w:val="0"/>
        <w:spacing w:line="560" w:lineRule="exact"/>
        <w:ind w:firstLine="320" w:firstLineChars="100"/>
        <w:textAlignment w:val="auto"/>
        <w:rPr>
          <w:rFonts w:hint="eastAsia" w:ascii="仿宋_GB2312" w:hAnsi="方正粗黑宋简体" w:eastAsia="仿宋_GB2312" w:cs="方正粗黑宋简体"/>
          <w:sz w:val="32"/>
          <w:szCs w:val="32"/>
        </w:rPr>
      </w:pPr>
    </w:p>
    <w:p w14:paraId="3F2EE771">
      <w:pPr>
        <w:keepNext w:val="0"/>
        <w:keepLines w:val="0"/>
        <w:pageBreakBefore w:val="0"/>
        <w:widowControl w:val="0"/>
        <w:kinsoku/>
        <w:wordWrap/>
        <w:overflowPunct/>
        <w:topLinePunct w:val="0"/>
        <w:autoSpaceDE/>
        <w:autoSpaceDN/>
        <w:bidi w:val="0"/>
        <w:spacing w:line="560" w:lineRule="exact"/>
        <w:ind w:firstLine="320" w:firstLineChars="100"/>
        <w:textAlignment w:val="auto"/>
        <w:rPr>
          <w:rFonts w:hint="eastAsia" w:ascii="仿宋_GB2312" w:hAnsi="方正粗黑宋简体" w:eastAsia="仿宋_GB2312" w:cs="方正粗黑宋简体"/>
          <w:sz w:val="32"/>
          <w:szCs w:val="32"/>
        </w:rPr>
      </w:pPr>
    </w:p>
    <w:p w14:paraId="1BFC9AE6">
      <w:pPr>
        <w:keepNext w:val="0"/>
        <w:keepLines w:val="0"/>
        <w:pageBreakBefore w:val="0"/>
        <w:widowControl w:val="0"/>
        <w:kinsoku/>
        <w:wordWrap/>
        <w:overflowPunct/>
        <w:topLinePunct w:val="0"/>
        <w:autoSpaceDE/>
        <w:autoSpaceDN/>
        <w:bidi w:val="0"/>
        <w:spacing w:line="560" w:lineRule="exact"/>
        <w:ind w:firstLine="320" w:firstLineChars="100"/>
        <w:textAlignment w:val="auto"/>
        <w:rPr>
          <w:rFonts w:hint="eastAsia" w:ascii="仿宋_GB2312" w:hAnsi="方正粗黑宋简体" w:eastAsia="仿宋_GB2312" w:cs="方正粗黑宋简体"/>
          <w:sz w:val="32"/>
          <w:szCs w:val="32"/>
        </w:rPr>
      </w:pPr>
    </w:p>
    <w:p w14:paraId="5FD4E4B1">
      <w:pPr>
        <w:keepNext w:val="0"/>
        <w:keepLines w:val="0"/>
        <w:pageBreakBefore w:val="0"/>
        <w:widowControl w:val="0"/>
        <w:kinsoku/>
        <w:wordWrap/>
        <w:overflowPunct/>
        <w:topLinePunct w:val="0"/>
        <w:autoSpaceDE/>
        <w:autoSpaceDN/>
        <w:bidi w:val="0"/>
        <w:spacing w:line="560" w:lineRule="exact"/>
        <w:ind w:firstLine="320" w:firstLineChars="100"/>
        <w:textAlignment w:val="auto"/>
        <w:rPr>
          <w:rFonts w:hint="eastAsia" w:ascii="仿宋_GB2312" w:hAnsi="方正粗黑宋简体" w:eastAsia="仿宋_GB2312" w:cs="方正粗黑宋简体"/>
          <w:sz w:val="32"/>
          <w:szCs w:val="32"/>
        </w:rPr>
      </w:pPr>
    </w:p>
    <w:p w14:paraId="61B48B8B">
      <w:pPr>
        <w:keepNext w:val="0"/>
        <w:keepLines w:val="0"/>
        <w:pageBreakBefore w:val="0"/>
        <w:widowControl w:val="0"/>
        <w:kinsoku/>
        <w:wordWrap/>
        <w:overflowPunct/>
        <w:topLinePunct w:val="0"/>
        <w:autoSpaceDE/>
        <w:autoSpaceDN/>
        <w:bidi w:val="0"/>
        <w:spacing w:line="560" w:lineRule="exact"/>
        <w:ind w:firstLine="320" w:firstLineChars="100"/>
        <w:textAlignment w:val="auto"/>
        <w:rPr>
          <w:rFonts w:hint="eastAsia" w:ascii="仿宋_GB2312" w:hAnsi="方正粗黑宋简体" w:eastAsia="仿宋_GB2312" w:cs="方正粗黑宋简体"/>
          <w:sz w:val="32"/>
          <w:szCs w:val="32"/>
        </w:rPr>
      </w:pPr>
    </w:p>
    <w:p w14:paraId="0BDC0F0F">
      <w:pPr>
        <w:keepNext w:val="0"/>
        <w:keepLines w:val="0"/>
        <w:pageBreakBefore w:val="0"/>
        <w:widowControl w:val="0"/>
        <w:kinsoku/>
        <w:wordWrap/>
        <w:overflowPunct/>
        <w:topLinePunct w:val="0"/>
        <w:autoSpaceDE/>
        <w:autoSpaceDN/>
        <w:bidi w:val="0"/>
        <w:spacing w:line="560" w:lineRule="exact"/>
        <w:ind w:firstLine="320" w:firstLineChars="100"/>
        <w:textAlignment w:val="auto"/>
        <w:rPr>
          <w:rFonts w:hint="eastAsia" w:ascii="仿宋_GB2312" w:hAnsi="方正粗黑宋简体" w:eastAsia="仿宋_GB2312" w:cs="方正粗黑宋简体"/>
          <w:sz w:val="32"/>
          <w:szCs w:val="32"/>
        </w:rPr>
      </w:pPr>
    </w:p>
    <w:p w14:paraId="1389C3D0">
      <w:pPr>
        <w:keepNext w:val="0"/>
        <w:keepLines w:val="0"/>
        <w:pageBreakBefore w:val="0"/>
        <w:widowControl w:val="0"/>
        <w:kinsoku/>
        <w:wordWrap/>
        <w:overflowPunct/>
        <w:topLinePunct w:val="0"/>
        <w:autoSpaceDE/>
        <w:autoSpaceDN/>
        <w:bidi w:val="0"/>
        <w:spacing w:line="560" w:lineRule="exact"/>
        <w:ind w:firstLine="320" w:firstLineChars="100"/>
        <w:textAlignment w:val="auto"/>
        <w:rPr>
          <w:rFonts w:ascii="仿宋_GB2312" w:hAnsi="方正粗黑宋简体" w:eastAsia="仿宋_GB2312" w:cs="方正粗黑宋简体"/>
          <w:sz w:val="32"/>
          <w:szCs w:val="32"/>
        </w:rPr>
      </w:pPr>
      <w:r>
        <w:rPr>
          <w:rFonts w:hint="eastAsia" w:ascii="仿宋_GB2312" w:hAnsi="方正粗黑宋简体" w:eastAsia="仿宋_GB2312" w:cs="方正粗黑宋简体"/>
          <w:sz w:val="32"/>
          <w:szCs w:val="32"/>
        </w:rPr>
        <w:t>参委〔202</w:t>
      </w:r>
      <w:r>
        <w:rPr>
          <w:rFonts w:hint="eastAsia" w:ascii="仿宋_GB2312" w:hAnsi="方正粗黑宋简体" w:eastAsia="仿宋_GB2312" w:cs="方正粗黑宋简体"/>
          <w:sz w:val="32"/>
          <w:szCs w:val="32"/>
          <w:lang w:val="en-US" w:eastAsia="zh-CN"/>
        </w:rPr>
        <w:t>6</w:t>
      </w:r>
      <w:r>
        <w:rPr>
          <w:rFonts w:hint="eastAsia" w:ascii="仿宋_GB2312" w:hAnsi="方正粗黑宋简体" w:eastAsia="仿宋_GB2312" w:cs="方正粗黑宋简体"/>
          <w:sz w:val="32"/>
          <w:szCs w:val="32"/>
        </w:rPr>
        <w:t>〕</w:t>
      </w:r>
      <w:r>
        <w:rPr>
          <w:rFonts w:hint="eastAsia" w:ascii="仿宋_GB2312" w:hAnsi="方正粗黑宋简体" w:eastAsia="仿宋_GB2312" w:cs="方正粗黑宋简体"/>
          <w:sz w:val="32"/>
          <w:szCs w:val="32"/>
          <w:lang w:val="en-US" w:eastAsia="zh-CN"/>
        </w:rPr>
        <w:t>11</w:t>
      </w:r>
      <w:r>
        <w:rPr>
          <w:rFonts w:hint="eastAsia" w:ascii="仿宋_GB2312" w:hAnsi="方正粗黑宋简体" w:eastAsia="仿宋_GB2312" w:cs="方正粗黑宋简体"/>
          <w:sz w:val="32"/>
          <w:szCs w:val="32"/>
        </w:rPr>
        <w:t xml:space="preserve">号                </w:t>
      </w:r>
      <w:r>
        <w:rPr>
          <w:rFonts w:hint="eastAsia" w:eastAsia="仿宋_GB2312"/>
          <w:sz w:val="32"/>
          <w:szCs w:val="32"/>
        </w:rPr>
        <w:t>签发人：</w:t>
      </w:r>
      <w:r>
        <w:rPr>
          <w:rFonts w:hint="eastAsia" w:ascii="楷体_GB2312" w:eastAsia="楷体_GB2312"/>
          <w:sz w:val="32"/>
          <w:szCs w:val="32"/>
        </w:rPr>
        <w:t>李福清 龚金山</w:t>
      </w:r>
    </w:p>
    <w:p w14:paraId="7E1CE187">
      <w:pPr>
        <w:keepNext w:val="0"/>
        <w:keepLines w:val="0"/>
        <w:pageBreakBefore w:val="0"/>
        <w:widowControl w:val="0"/>
        <w:kinsoku/>
        <w:wordWrap/>
        <w:overflowPunct/>
        <w:topLinePunct w:val="0"/>
        <w:autoSpaceDE/>
        <w:autoSpaceDN/>
        <w:bidi w:val="0"/>
        <w:spacing w:line="560" w:lineRule="exact"/>
        <w:jc w:val="center"/>
        <w:textAlignment w:val="auto"/>
        <w:rPr>
          <w:rFonts w:hint="default" w:ascii="Times New Roman" w:hAnsi="Times New Roman" w:eastAsia="仿宋_GB2312" w:cs="Times New Roman"/>
          <w:sz w:val="32"/>
          <w:szCs w:val="32"/>
        </w:rPr>
      </w:pPr>
    </w:p>
    <w:p w14:paraId="4F65DE3D">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jc w:val="center"/>
        <w:textAlignment w:val="auto"/>
        <w:rPr>
          <w:rFonts w:hint="eastAsia" w:ascii="方正小标宋简体" w:hAnsi="方正小标宋简体" w:eastAsia="方正小标宋简体" w:cs="方正小标宋简体"/>
          <w:w w:val="90"/>
          <w:sz w:val="44"/>
          <w:szCs w:val="44"/>
        </w:rPr>
      </w:pPr>
      <w:r>
        <w:rPr>
          <w:rFonts w:hint="eastAsia" w:ascii="方正小标宋简体" w:hAnsi="方正小标宋简体" w:eastAsia="方正小标宋简体" w:cs="方正小标宋简体"/>
          <w:w w:val="90"/>
          <w:sz w:val="44"/>
          <w:szCs w:val="44"/>
        </w:rPr>
        <w:t xml:space="preserve">中共安溪县参内镇委员会 </w:t>
      </w:r>
      <w:r>
        <w:rPr>
          <w:rFonts w:hint="eastAsia" w:ascii="方正小标宋简体" w:hAnsi="方正小标宋简体" w:eastAsia="方正小标宋简体" w:cs="方正小标宋简体"/>
          <w:w w:val="90"/>
          <w:sz w:val="44"/>
          <w:szCs w:val="44"/>
          <w:lang w:val="en-US" w:eastAsia="zh-CN"/>
        </w:rPr>
        <w:t xml:space="preserve"> </w:t>
      </w:r>
      <w:r>
        <w:rPr>
          <w:rFonts w:hint="eastAsia" w:ascii="方正小标宋简体" w:hAnsi="方正小标宋简体" w:eastAsia="方正小标宋简体" w:cs="方正小标宋简体"/>
          <w:w w:val="90"/>
          <w:sz w:val="44"/>
          <w:szCs w:val="44"/>
        </w:rPr>
        <w:t>安溪县参内镇人民政府</w:t>
      </w:r>
    </w:p>
    <w:p w14:paraId="0899E7E0">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jc w:val="center"/>
        <w:textAlignment w:val="auto"/>
        <w:rPr>
          <w:rFonts w:hint="eastAsia" w:ascii="方正小标宋简体" w:hAnsi="方正小标宋简体" w:eastAsia="方正小标宋简体" w:cs="方正小标宋简体"/>
          <w:w w:val="90"/>
          <w:sz w:val="44"/>
          <w:szCs w:val="44"/>
        </w:rPr>
      </w:pPr>
      <w:r>
        <w:rPr>
          <w:rFonts w:hint="eastAsia" w:ascii="方正小标宋简体" w:hAnsi="方正小标宋简体" w:eastAsia="方正小标宋简体" w:cs="方正小标宋简体"/>
          <w:w w:val="90"/>
          <w:sz w:val="44"/>
          <w:szCs w:val="44"/>
        </w:rPr>
        <w:t>关于参内镇2025年度法治政府建设情况的报告</w:t>
      </w:r>
    </w:p>
    <w:p w14:paraId="213E0D08">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jc w:val="left"/>
        <w:textAlignment w:val="auto"/>
        <w:rPr>
          <w:rFonts w:hint="eastAsia" w:ascii="仿宋_GB2312" w:hAnsi="仿宋_GB2312" w:eastAsia="仿宋_GB2312" w:cs="仿宋_GB2312"/>
          <w:sz w:val="32"/>
          <w:szCs w:val="32"/>
        </w:rPr>
      </w:pPr>
    </w:p>
    <w:p w14:paraId="4C7965C6">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县委、县政府：</w:t>
      </w:r>
    </w:p>
    <w:p w14:paraId="65FB0196">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2025年，在县委、县政府的领导和县委依法治县办的指导下，参内镇坚持以习近平新时代中国特色社会主义思想为指导，深入学习贯彻习近平法治思想，严格落实《法治政府建设实施纲要（2021-2025年）》要求，紧扣“职能科学、权责法定、执法严明、公开公正、智能高效、廉洁诚信、人民满意”的法治政府建设标准，积极作为、率先垂范、创新突破，有力推进依法行政、完善执法机制、提升治理效能，持续推动法治政府建设与镇域发展深度融合。现将</w:t>
      </w:r>
      <w:r>
        <w:rPr>
          <w:rFonts w:hint="eastAsia" w:ascii="仿宋_GB2312" w:hAnsi="仿宋_GB2312" w:eastAsia="仿宋_GB2312" w:cs="仿宋_GB2312"/>
          <w:sz w:val="32"/>
          <w:szCs w:val="32"/>
          <w:lang w:eastAsia="zh-CN"/>
        </w:rPr>
        <w:t>主要</w:t>
      </w:r>
      <w:r>
        <w:rPr>
          <w:rFonts w:hint="eastAsia" w:ascii="仿宋_GB2312" w:hAnsi="仿宋_GB2312" w:eastAsia="仿宋_GB2312" w:cs="仿宋_GB2312"/>
          <w:sz w:val="32"/>
          <w:szCs w:val="32"/>
        </w:rPr>
        <w:t>情况报告如下：</w:t>
      </w:r>
    </w:p>
    <w:p w14:paraId="258D0F19">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40" w:firstLineChars="200"/>
        <w:jc w:val="both"/>
        <w:textAlignment w:val="auto"/>
        <w:outlineLvl w:val="0"/>
        <w:rPr>
          <w:rFonts w:hint="eastAsia" w:ascii="黑体" w:hAnsi="黑体" w:eastAsia="黑体" w:cs="黑体"/>
          <w:b w:val="0"/>
          <w:bCs/>
          <w:sz w:val="32"/>
          <w:szCs w:val="32"/>
        </w:rPr>
      </w:pPr>
      <w:bookmarkStart w:id="0" w:name="heading_0"/>
      <w:r>
        <w:rPr>
          <w:rFonts w:hint="eastAsia" w:ascii="黑体" w:hAnsi="黑体" w:eastAsia="黑体" w:cs="黑体"/>
          <w:b w:val="0"/>
          <w:bCs/>
          <w:sz w:val="32"/>
          <w:szCs w:val="32"/>
        </w:rPr>
        <w:t>一、筑牢法治政府根基，夯实法治建设政治引领</w:t>
      </w:r>
      <w:bookmarkEnd w:id="0"/>
    </w:p>
    <w:p w14:paraId="2D3B797E">
      <w:pPr>
        <w:keepNext w:val="0"/>
        <w:keepLines w:val="0"/>
        <w:pageBreakBefore w:val="0"/>
        <w:widowControl w:val="0"/>
        <w:kinsoku/>
        <w:wordWrap/>
        <w:overflowPunct/>
        <w:topLinePunct w:val="0"/>
        <w:autoSpaceDE/>
        <w:autoSpaceDN/>
        <w:bidi w:val="0"/>
        <w:adjustRightInd/>
        <w:snapToGrid/>
        <w:spacing w:line="540" w:lineRule="exact"/>
        <w:ind w:left="0" w:leftChars="0" w:firstLine="643" w:firstLineChars="200"/>
        <w:jc w:val="both"/>
        <w:textAlignment w:val="auto"/>
        <w:outlineLvl w:val="1"/>
        <w:rPr>
          <w:rFonts w:hint="eastAsia" w:ascii="仿宋_GB2312" w:hAnsi="仿宋_GB2312" w:eastAsia="仿宋_GB2312" w:cs="仿宋_GB2312"/>
          <w:sz w:val="32"/>
          <w:szCs w:val="32"/>
        </w:rPr>
      </w:pPr>
      <w:bookmarkStart w:id="1" w:name="heading_1"/>
      <w:r>
        <w:rPr>
          <w:rFonts w:hint="eastAsia" w:ascii="楷体_GB2312" w:hAnsi="楷体_GB2312" w:eastAsia="楷体_GB2312" w:cs="楷体_GB2312"/>
          <w:b/>
          <w:bCs w:val="0"/>
          <w:sz w:val="32"/>
          <w:szCs w:val="32"/>
        </w:rPr>
        <w:t>（一）高位推动，强化思想</w:t>
      </w:r>
      <w:r>
        <w:rPr>
          <w:rFonts w:hint="eastAsia" w:ascii="楷体_GB2312" w:hAnsi="楷体_GB2312" w:eastAsia="楷体_GB2312" w:cs="楷体_GB2312"/>
          <w:b/>
          <w:bCs w:val="0"/>
          <w:sz w:val="32"/>
          <w:szCs w:val="32"/>
          <w:lang w:eastAsia="zh-CN"/>
        </w:rPr>
        <w:t>理论</w:t>
      </w:r>
      <w:r>
        <w:rPr>
          <w:rFonts w:hint="eastAsia" w:ascii="楷体_GB2312" w:hAnsi="楷体_GB2312" w:eastAsia="楷体_GB2312" w:cs="楷体_GB2312"/>
          <w:b/>
          <w:bCs w:val="0"/>
          <w:sz w:val="32"/>
          <w:szCs w:val="32"/>
        </w:rPr>
        <w:t>武装</w:t>
      </w:r>
      <w:bookmarkEnd w:id="1"/>
      <w:r>
        <w:rPr>
          <w:rFonts w:hint="eastAsia" w:ascii="楷体_GB2312" w:hAnsi="楷体_GB2312" w:eastAsia="楷体_GB2312" w:cs="楷体_GB2312"/>
          <w:b/>
          <w:bCs w:val="0"/>
          <w:sz w:val="32"/>
          <w:szCs w:val="32"/>
          <w:lang w:eastAsia="zh-CN"/>
        </w:rPr>
        <w:t>。</w:t>
      </w:r>
      <w:r>
        <w:rPr>
          <w:rFonts w:hint="eastAsia" w:ascii="仿宋_GB2312" w:hAnsi="仿宋_GB2312" w:eastAsia="仿宋_GB2312" w:cs="仿宋_GB2312"/>
          <w:sz w:val="32"/>
          <w:szCs w:val="32"/>
        </w:rPr>
        <w:t>坚持把习近平法治思想贯穿党委政府工作全过程、各领域，将其作为党委理论学习中心组学习的</w:t>
      </w:r>
      <w:r>
        <w:rPr>
          <w:rFonts w:hint="eastAsia" w:ascii="仿宋_GB2312" w:hAnsi="仿宋_GB2312" w:eastAsia="仿宋_GB2312" w:cs="仿宋_GB2312"/>
          <w:sz w:val="32"/>
          <w:szCs w:val="32"/>
          <w:lang w:eastAsia="zh-CN"/>
        </w:rPr>
        <w:t>重要</w:t>
      </w:r>
      <w:r>
        <w:rPr>
          <w:rFonts w:hint="eastAsia" w:ascii="仿宋_GB2312" w:hAnsi="仿宋_GB2312" w:eastAsia="仿宋_GB2312" w:cs="仿宋_GB2312"/>
          <w:sz w:val="32"/>
          <w:szCs w:val="32"/>
        </w:rPr>
        <w:t>内容，通过党委理论学习中心组、党政联席会、专题讲座、专题研讨等载体开展学习10余次，重点围绕“十二个坚持”核心要义，带头精读《习近平法治文选》第一卷、《习近平法治思想学习纲要（2025年版）》等权威著作。镇党政主要负责人带头尊法学法守法用法，严格执行“法定职责必须为、法无授权不可为”原则，示范带动全镇党员干部涵养法治思维、提升法治素养，确保上级关于法治建设的各项决策部署在参内得到不折不扣的贯彻执行，切实以法治建设的具体行动和实际成效，坚定拥护“两个确立”、坚决做到“两个维护”。</w:t>
      </w:r>
    </w:p>
    <w:p w14:paraId="0932172D">
      <w:pPr>
        <w:keepNext w:val="0"/>
        <w:keepLines w:val="0"/>
        <w:pageBreakBefore w:val="0"/>
        <w:widowControl w:val="0"/>
        <w:kinsoku/>
        <w:wordWrap/>
        <w:overflowPunct/>
        <w:topLinePunct w:val="0"/>
        <w:autoSpaceDE/>
        <w:autoSpaceDN/>
        <w:bidi w:val="0"/>
        <w:adjustRightInd/>
        <w:snapToGrid/>
        <w:spacing w:line="540" w:lineRule="exact"/>
        <w:ind w:left="0" w:leftChars="0" w:firstLine="643" w:firstLineChars="200"/>
        <w:jc w:val="both"/>
        <w:textAlignment w:val="auto"/>
        <w:outlineLvl w:val="1"/>
        <w:rPr>
          <w:rFonts w:hint="eastAsia" w:ascii="仿宋_GB2312" w:hAnsi="仿宋_GB2312" w:eastAsia="仿宋_GB2312" w:cs="仿宋_GB2312"/>
          <w:sz w:val="32"/>
          <w:szCs w:val="32"/>
        </w:rPr>
      </w:pPr>
      <w:bookmarkStart w:id="2" w:name="heading_2"/>
      <w:r>
        <w:rPr>
          <w:rFonts w:hint="eastAsia" w:ascii="楷体_GB2312" w:hAnsi="楷体_GB2312" w:eastAsia="楷体_GB2312" w:cs="楷体_GB2312"/>
          <w:b/>
          <w:bCs w:val="0"/>
          <w:sz w:val="32"/>
          <w:szCs w:val="32"/>
        </w:rPr>
        <w:t>（二）压实责任，健全工作推进格局</w:t>
      </w:r>
      <w:bookmarkEnd w:id="2"/>
      <w:r>
        <w:rPr>
          <w:rFonts w:hint="eastAsia" w:ascii="楷体_GB2312" w:hAnsi="楷体_GB2312" w:eastAsia="楷体_GB2312" w:cs="楷体_GB2312"/>
          <w:b/>
          <w:bCs w:val="0"/>
          <w:sz w:val="32"/>
          <w:szCs w:val="32"/>
          <w:lang w:eastAsia="zh-CN"/>
        </w:rPr>
        <w:t>。</w:t>
      </w:r>
      <w:r>
        <w:rPr>
          <w:rFonts w:hint="eastAsia" w:ascii="仿宋_GB2312" w:hAnsi="仿宋_GB2312" w:eastAsia="仿宋_GB2312" w:cs="仿宋_GB2312"/>
          <w:sz w:val="32"/>
          <w:szCs w:val="32"/>
        </w:rPr>
        <w:t>镇党政主要负责人切实履行推进法治政府建设第一责任人职责，健全完善镇法治建设工作领导小组，将法治工作作为</w:t>
      </w:r>
      <w:r>
        <w:rPr>
          <w:rFonts w:hint="eastAsia" w:ascii="仿宋_GB2312" w:hAnsi="仿宋_GB2312" w:eastAsia="仿宋_GB2312" w:cs="仿宋_GB2312"/>
          <w:sz w:val="32"/>
          <w:szCs w:val="32"/>
          <w:lang w:eastAsia="zh-CN"/>
        </w:rPr>
        <w:t>重要</w:t>
      </w:r>
      <w:r>
        <w:rPr>
          <w:rFonts w:hint="eastAsia" w:ascii="仿宋_GB2312" w:hAnsi="仿宋_GB2312" w:eastAsia="仿宋_GB2312" w:cs="仿宋_GB2312"/>
          <w:sz w:val="32"/>
          <w:szCs w:val="32"/>
        </w:rPr>
        <w:t>工程高位推动，研究制定参内镇2025年度法治政府建设工作计划，明确工作责任，细化任务分工，形成“主要领导总体抓、分管领导具体抓、相关单位协同抓”的工作格局。坚持把法治建设与城东新城建设、乡村振兴等中心工作同部署、同推进、同考核，定期听取法治建设工作汇报，协调解决难点问题，将法治建设成效纳入镇对村（社区）、部门年度考核，将依法办事作为选人用人重要依据，为推进法治建设提供坚实保障、创造有利条件。</w:t>
      </w:r>
    </w:p>
    <w:p w14:paraId="7CC156F0">
      <w:pPr>
        <w:keepNext w:val="0"/>
        <w:keepLines w:val="0"/>
        <w:pageBreakBefore w:val="0"/>
        <w:widowControl w:val="0"/>
        <w:kinsoku/>
        <w:wordWrap/>
        <w:overflowPunct/>
        <w:topLinePunct w:val="0"/>
        <w:autoSpaceDE/>
        <w:autoSpaceDN/>
        <w:bidi w:val="0"/>
        <w:adjustRightInd/>
        <w:snapToGrid/>
        <w:spacing w:line="540" w:lineRule="exact"/>
        <w:ind w:left="0" w:leftChars="0" w:firstLine="643" w:firstLineChars="200"/>
        <w:jc w:val="both"/>
        <w:textAlignment w:val="auto"/>
        <w:outlineLvl w:val="1"/>
        <w:rPr>
          <w:rFonts w:hint="eastAsia" w:ascii="仿宋_GB2312" w:hAnsi="仿宋_GB2312" w:eastAsia="仿宋_GB2312" w:cs="仿宋_GB2312"/>
          <w:sz w:val="32"/>
          <w:szCs w:val="32"/>
        </w:rPr>
      </w:pPr>
      <w:bookmarkStart w:id="3" w:name="heading_3"/>
      <w:r>
        <w:rPr>
          <w:rFonts w:hint="eastAsia" w:ascii="楷体_GB2312" w:hAnsi="楷体_GB2312" w:eastAsia="楷体_GB2312" w:cs="楷体_GB2312"/>
          <w:b/>
          <w:bCs w:val="0"/>
          <w:sz w:val="32"/>
          <w:szCs w:val="32"/>
        </w:rPr>
        <w:t>（三）深化教育，筑牢法治思维防线</w:t>
      </w:r>
      <w:bookmarkEnd w:id="3"/>
      <w:r>
        <w:rPr>
          <w:rFonts w:hint="eastAsia" w:ascii="楷体_GB2312" w:hAnsi="楷体_GB2312" w:eastAsia="楷体_GB2312" w:cs="楷体_GB2312"/>
          <w:b/>
          <w:bCs w:val="0"/>
          <w:sz w:val="32"/>
          <w:szCs w:val="32"/>
          <w:lang w:eastAsia="zh-CN"/>
        </w:rPr>
        <w:t>。</w:t>
      </w:r>
      <w:r>
        <w:rPr>
          <w:rFonts w:hint="eastAsia" w:ascii="仿宋_GB2312" w:hAnsi="仿宋_GB2312" w:eastAsia="仿宋_GB2312" w:cs="仿宋_GB2312"/>
          <w:sz w:val="32"/>
          <w:szCs w:val="32"/>
        </w:rPr>
        <w:t>持续营造“办事依法、遇事找法、解决问题用法、化解矛盾靠法”的法治环境，教育镇村（社区）干部把对法治的尊崇、对法律的敬畏转化为思维方式和行为指导。着力构建常态化学习机制，年内邀请法律顾问开展专题辅导讲座3场，组织镇领导班子及中层干部开展《</w:t>
      </w:r>
      <w:r>
        <w:rPr>
          <w:rFonts w:hint="eastAsia" w:ascii="仿宋_GB2312" w:hAnsi="仿宋_GB2312" w:eastAsia="仿宋_GB2312" w:cs="仿宋_GB2312"/>
          <w:sz w:val="32"/>
          <w:szCs w:val="32"/>
          <w:lang w:eastAsia="zh-CN"/>
        </w:rPr>
        <w:t>中华人民共和国</w:t>
      </w:r>
      <w:r>
        <w:rPr>
          <w:rFonts w:hint="eastAsia" w:ascii="仿宋_GB2312" w:hAnsi="仿宋_GB2312" w:eastAsia="仿宋_GB2312" w:cs="仿宋_GB2312"/>
          <w:sz w:val="32"/>
          <w:szCs w:val="32"/>
        </w:rPr>
        <w:t>宪法》《</w:t>
      </w:r>
      <w:r>
        <w:rPr>
          <w:rFonts w:hint="eastAsia" w:ascii="仿宋_GB2312" w:hAnsi="仿宋_GB2312" w:eastAsia="仿宋_GB2312" w:cs="仿宋_GB2312"/>
          <w:sz w:val="32"/>
          <w:szCs w:val="32"/>
          <w:lang w:eastAsia="zh-CN"/>
        </w:rPr>
        <w:t>中华人民共和国</w:t>
      </w:r>
      <w:r>
        <w:rPr>
          <w:rFonts w:hint="eastAsia" w:ascii="仿宋_GB2312" w:hAnsi="仿宋_GB2312" w:eastAsia="仿宋_GB2312" w:cs="仿宋_GB2312"/>
          <w:sz w:val="32"/>
          <w:szCs w:val="32"/>
        </w:rPr>
        <w:t>民法典》等法律法规专题学习6次，组织行政执法人员集中培训4次。同时，注重警示教育与正向引导相结合，推动领导干部带头践行“四下基层”制度，结合工作实际开展面对面法治宣讲，切实提升干部运用习近平法治思想指导工作实践的能力，强化党员干部知法、依法、用法底线。</w:t>
      </w:r>
    </w:p>
    <w:p w14:paraId="6A3A3096">
      <w:pPr>
        <w:keepNext w:val="0"/>
        <w:keepLines w:val="0"/>
        <w:pageBreakBefore w:val="0"/>
        <w:widowControl w:val="0"/>
        <w:kinsoku/>
        <w:wordWrap/>
        <w:overflowPunct/>
        <w:topLinePunct w:val="0"/>
        <w:autoSpaceDE/>
        <w:autoSpaceDN/>
        <w:bidi w:val="0"/>
        <w:adjustRightInd/>
        <w:snapToGrid/>
        <w:spacing w:line="540" w:lineRule="exact"/>
        <w:ind w:left="0" w:leftChars="0" w:firstLine="640" w:firstLineChars="200"/>
        <w:jc w:val="both"/>
        <w:textAlignment w:val="auto"/>
        <w:outlineLvl w:val="0"/>
        <w:rPr>
          <w:rFonts w:hint="eastAsia" w:ascii="黑体" w:hAnsi="黑体" w:eastAsia="黑体" w:cs="黑体"/>
          <w:b w:val="0"/>
          <w:bCs/>
          <w:sz w:val="32"/>
          <w:szCs w:val="32"/>
        </w:rPr>
      </w:pPr>
      <w:bookmarkStart w:id="4" w:name="heading_4"/>
      <w:r>
        <w:rPr>
          <w:rFonts w:hint="eastAsia" w:ascii="黑体" w:hAnsi="黑体" w:eastAsia="黑体" w:cs="黑体"/>
          <w:b w:val="0"/>
          <w:bCs/>
          <w:sz w:val="32"/>
          <w:szCs w:val="32"/>
        </w:rPr>
        <w:t>二、深化法治队伍建设，</w:t>
      </w:r>
      <w:r>
        <w:rPr>
          <w:rFonts w:hint="eastAsia" w:ascii="黑体" w:hAnsi="黑体" w:eastAsia="黑体" w:cs="黑体"/>
          <w:b w:val="0"/>
          <w:bCs/>
          <w:sz w:val="32"/>
          <w:szCs w:val="32"/>
          <w:lang w:eastAsia="zh-CN"/>
        </w:rPr>
        <w:t>推动</w:t>
      </w:r>
      <w:r>
        <w:rPr>
          <w:rFonts w:hint="eastAsia" w:ascii="黑体" w:hAnsi="黑体" w:eastAsia="黑体" w:cs="黑体"/>
          <w:b w:val="0"/>
          <w:bCs/>
          <w:sz w:val="32"/>
          <w:szCs w:val="32"/>
        </w:rPr>
        <w:t>全民守法</w:t>
      </w:r>
      <w:bookmarkEnd w:id="4"/>
      <w:r>
        <w:rPr>
          <w:rFonts w:hint="eastAsia" w:ascii="黑体" w:hAnsi="黑体" w:eastAsia="黑体" w:cs="黑体"/>
          <w:b w:val="0"/>
          <w:bCs/>
          <w:sz w:val="32"/>
          <w:szCs w:val="32"/>
        </w:rPr>
        <w:t>提质增效</w:t>
      </w:r>
    </w:p>
    <w:p w14:paraId="617DC9C6">
      <w:pPr>
        <w:keepNext w:val="0"/>
        <w:keepLines w:val="0"/>
        <w:pageBreakBefore w:val="0"/>
        <w:widowControl w:val="0"/>
        <w:kinsoku/>
        <w:wordWrap/>
        <w:overflowPunct/>
        <w:topLinePunct w:val="0"/>
        <w:autoSpaceDE/>
        <w:autoSpaceDN/>
        <w:bidi w:val="0"/>
        <w:adjustRightInd/>
        <w:snapToGrid/>
        <w:spacing w:line="540" w:lineRule="exact"/>
        <w:ind w:left="0" w:leftChars="0" w:firstLine="643" w:firstLineChars="200"/>
        <w:jc w:val="both"/>
        <w:textAlignment w:val="auto"/>
        <w:outlineLvl w:val="1"/>
        <w:rPr>
          <w:rFonts w:hint="eastAsia" w:ascii="仿宋_GB2312" w:hAnsi="仿宋_GB2312" w:eastAsia="仿宋_GB2312" w:cs="仿宋_GB2312"/>
          <w:sz w:val="32"/>
          <w:szCs w:val="32"/>
        </w:rPr>
      </w:pPr>
      <w:bookmarkStart w:id="5" w:name="heading_5"/>
      <w:r>
        <w:rPr>
          <w:rFonts w:hint="eastAsia" w:ascii="楷体_GB2312" w:hAnsi="楷体_GB2312" w:eastAsia="楷体_GB2312" w:cs="楷体_GB2312"/>
          <w:b/>
          <w:bCs w:val="0"/>
          <w:sz w:val="32"/>
          <w:szCs w:val="32"/>
        </w:rPr>
        <w:t>（一）完善队伍，提升执法能力水平</w:t>
      </w:r>
      <w:bookmarkEnd w:id="5"/>
      <w:r>
        <w:rPr>
          <w:rFonts w:hint="eastAsia" w:ascii="楷体_GB2312" w:hAnsi="楷体_GB2312" w:eastAsia="楷体_GB2312" w:cs="楷体_GB2312"/>
          <w:b/>
          <w:bCs w:val="0"/>
          <w:sz w:val="32"/>
          <w:szCs w:val="32"/>
          <w:lang w:eastAsia="zh-CN"/>
        </w:rPr>
        <w:t>。</w:t>
      </w:r>
      <w:r>
        <w:rPr>
          <w:rFonts w:hint="eastAsia" w:ascii="仿宋_GB2312" w:hAnsi="仿宋_GB2312" w:eastAsia="仿宋_GB2312" w:cs="仿宋_GB2312"/>
          <w:sz w:val="32"/>
          <w:szCs w:val="32"/>
        </w:rPr>
        <w:t>严格落实行政执法人员持证上岗制度，持续加强行政执法队伍建设，推动4名干部通过行政执法资格考试并完成制证，目前全镇持有行政执法资格证人员达25人，确保行政执法人员持证执法、规范履职。建立健全行政执法相关制度，全面落实行政执法公示制度、执法全过程记录制度、重大执法决定法制审核制度，规范执法各环节流程，共严格办理行政检查22件、行政处罚17件，做到程序合法、事实清楚、适用法律准确。同时，注重基层法治队伍培育，邀请法律顾问为156名乡村“法律明白人”讲授宪法、民法典等法律知识，提升基层法治队伍专业能力。</w:t>
      </w:r>
    </w:p>
    <w:p w14:paraId="29DFA828">
      <w:pPr>
        <w:keepNext w:val="0"/>
        <w:keepLines w:val="0"/>
        <w:pageBreakBefore w:val="0"/>
        <w:widowControl w:val="0"/>
        <w:kinsoku/>
        <w:wordWrap/>
        <w:overflowPunct/>
        <w:topLinePunct w:val="0"/>
        <w:autoSpaceDE/>
        <w:autoSpaceDN/>
        <w:bidi w:val="0"/>
        <w:adjustRightInd/>
        <w:snapToGrid/>
        <w:spacing w:line="540" w:lineRule="exact"/>
        <w:ind w:left="0" w:leftChars="0" w:firstLine="643" w:firstLineChars="200"/>
        <w:jc w:val="both"/>
        <w:textAlignment w:val="auto"/>
        <w:outlineLvl w:val="1"/>
        <w:rPr>
          <w:rFonts w:hint="eastAsia" w:ascii="仿宋_GB2312" w:hAnsi="仿宋_GB2312" w:eastAsia="仿宋_GB2312" w:cs="仿宋_GB2312"/>
          <w:sz w:val="32"/>
          <w:szCs w:val="32"/>
        </w:rPr>
      </w:pPr>
      <w:bookmarkStart w:id="6" w:name="heading_6"/>
      <w:r>
        <w:rPr>
          <w:rFonts w:hint="eastAsia" w:ascii="楷体_GB2312" w:hAnsi="楷体_GB2312" w:eastAsia="楷体_GB2312" w:cs="楷体_GB2312"/>
          <w:b/>
          <w:bCs w:val="0"/>
          <w:sz w:val="32"/>
          <w:szCs w:val="32"/>
        </w:rPr>
        <w:t>（二）抓实学习，强化干部法治素养</w:t>
      </w:r>
      <w:bookmarkEnd w:id="6"/>
      <w:r>
        <w:rPr>
          <w:rFonts w:hint="eastAsia" w:ascii="楷体_GB2312" w:hAnsi="楷体_GB2312" w:eastAsia="楷体_GB2312" w:cs="楷体_GB2312"/>
          <w:b/>
          <w:bCs w:val="0"/>
          <w:sz w:val="32"/>
          <w:szCs w:val="32"/>
          <w:lang w:eastAsia="zh-CN"/>
        </w:rPr>
        <w:t>。</w:t>
      </w:r>
      <w:r>
        <w:rPr>
          <w:rFonts w:hint="eastAsia" w:ascii="仿宋_GB2312" w:hAnsi="仿宋_GB2312" w:eastAsia="仿宋_GB2312" w:cs="仿宋_GB2312"/>
          <w:sz w:val="32"/>
          <w:szCs w:val="32"/>
        </w:rPr>
        <w:t>定期组织机关干部开展法治教育培训，依托专题培训、法治讲座、案例研讨等形式，分层分类开展干部职工法治教育，不断增强机关干部知法守法学法用法水平。充分发挥法律顾问作用，邀请法律顾问参与专题辅导、重大决策审查等工作，助力干部提升依法决策、依法行政能力。推动班子成员结合分管领域深学细研、交流互鉴，通过制度化的学习安排与考核，有效提升领导班子和干部队伍的法治素养及依法履职能力，着力打造一支政治过硬、业务精通、作风优良的基层法治工作队伍。</w:t>
      </w:r>
    </w:p>
    <w:p w14:paraId="77C788F9">
      <w:pPr>
        <w:keepNext w:val="0"/>
        <w:keepLines w:val="0"/>
        <w:pageBreakBefore w:val="0"/>
        <w:widowControl w:val="0"/>
        <w:kinsoku/>
        <w:wordWrap/>
        <w:overflowPunct/>
        <w:topLinePunct w:val="0"/>
        <w:autoSpaceDE/>
        <w:autoSpaceDN/>
        <w:bidi w:val="0"/>
        <w:adjustRightInd/>
        <w:snapToGrid/>
        <w:spacing w:line="540" w:lineRule="exact"/>
        <w:ind w:left="0" w:leftChars="0" w:firstLine="643" w:firstLineChars="200"/>
        <w:jc w:val="both"/>
        <w:textAlignment w:val="auto"/>
        <w:outlineLvl w:val="1"/>
        <w:rPr>
          <w:rFonts w:hint="eastAsia" w:ascii="仿宋_GB2312" w:hAnsi="仿宋_GB2312" w:eastAsia="仿宋_GB2312" w:cs="仿宋_GB2312"/>
          <w:sz w:val="32"/>
          <w:szCs w:val="32"/>
        </w:rPr>
      </w:pPr>
      <w:bookmarkStart w:id="7" w:name="heading_7"/>
      <w:r>
        <w:rPr>
          <w:rFonts w:hint="eastAsia" w:ascii="楷体_GB2312" w:hAnsi="楷体_GB2312" w:eastAsia="楷体_GB2312" w:cs="楷体_GB2312"/>
          <w:b/>
          <w:bCs w:val="0"/>
          <w:sz w:val="32"/>
          <w:szCs w:val="32"/>
        </w:rPr>
        <w:t>（三）普治并举，营造全民守法氛围</w:t>
      </w:r>
      <w:bookmarkEnd w:id="7"/>
      <w:r>
        <w:rPr>
          <w:rFonts w:hint="eastAsia" w:ascii="楷体_GB2312" w:hAnsi="楷体_GB2312" w:eastAsia="楷体_GB2312" w:cs="楷体_GB2312"/>
          <w:b/>
          <w:bCs w:val="0"/>
          <w:sz w:val="32"/>
          <w:szCs w:val="32"/>
          <w:lang w:eastAsia="zh-CN"/>
        </w:rPr>
        <w:t>。</w:t>
      </w:r>
      <w:r>
        <w:rPr>
          <w:rFonts w:hint="eastAsia" w:ascii="仿宋_GB2312" w:hAnsi="仿宋_GB2312" w:eastAsia="仿宋_GB2312" w:cs="仿宋_GB2312"/>
          <w:sz w:val="32"/>
          <w:szCs w:val="32"/>
        </w:rPr>
        <w:t>健全参内镇普法工作领导小组，编制普法责任清单，推动“谁执法谁普法”普法责任制落到实处。依托“民法典宣传月”“12·4”国家宪法日等重要普法节点，深入开展“法律八进”活动16场，成功举办参内镇2025年“宪法宣传周”普法活动、“法润青春‘典’亮未来”主题活动、未成年人普法活动等，扩大普法覆盖面。充分利用“参内新城事”微信公众号、镇村公开栏、法治文化广场等线上线下平台，全年策划推送以案释法、政策解读等普法内容30余条，</w:t>
      </w:r>
      <w:r>
        <w:rPr>
          <w:rFonts w:hint="eastAsia" w:ascii="仿宋_GB2312" w:hAnsi="仿宋_GB2312" w:eastAsia="仿宋_GB2312" w:cs="仿宋_GB2312"/>
          <w:sz w:val="32"/>
          <w:szCs w:val="32"/>
          <w:lang w:eastAsia="zh-CN"/>
        </w:rPr>
        <w:t>并</w:t>
      </w:r>
      <w:r>
        <w:rPr>
          <w:rFonts w:hint="eastAsia" w:ascii="仿宋_GB2312" w:hAnsi="仿宋_GB2312" w:eastAsia="仿宋_GB2312" w:cs="仿宋_GB2312"/>
          <w:sz w:val="32"/>
          <w:szCs w:val="32"/>
        </w:rPr>
        <w:t>发放宣传资料、开展现场咨询，覆盖群众人次广泛，进一步引导全民遵法、守法、学法、用法，形成全员普法、全民守法的良好局面。</w:t>
      </w:r>
    </w:p>
    <w:p w14:paraId="11A075F9">
      <w:pPr>
        <w:keepNext w:val="0"/>
        <w:keepLines w:val="0"/>
        <w:pageBreakBefore w:val="0"/>
        <w:widowControl w:val="0"/>
        <w:kinsoku/>
        <w:wordWrap/>
        <w:overflowPunct/>
        <w:topLinePunct w:val="0"/>
        <w:autoSpaceDE/>
        <w:autoSpaceDN/>
        <w:bidi w:val="0"/>
        <w:adjustRightInd/>
        <w:snapToGrid/>
        <w:spacing w:line="540" w:lineRule="exact"/>
        <w:ind w:left="0" w:leftChars="0" w:firstLine="640" w:firstLineChars="200"/>
        <w:jc w:val="both"/>
        <w:textAlignment w:val="auto"/>
        <w:outlineLvl w:val="0"/>
        <w:rPr>
          <w:rFonts w:hint="eastAsia" w:ascii="黑体" w:hAnsi="黑体" w:eastAsia="黑体" w:cs="黑体"/>
          <w:b w:val="0"/>
          <w:bCs/>
          <w:sz w:val="32"/>
          <w:szCs w:val="32"/>
        </w:rPr>
      </w:pPr>
      <w:bookmarkStart w:id="8" w:name="heading_8"/>
      <w:r>
        <w:rPr>
          <w:rFonts w:hint="eastAsia" w:ascii="黑体" w:hAnsi="黑体" w:eastAsia="黑体" w:cs="黑体"/>
          <w:b w:val="0"/>
          <w:bCs/>
          <w:sz w:val="32"/>
          <w:szCs w:val="32"/>
        </w:rPr>
        <w:t>三、提升依法行政效能</w:t>
      </w:r>
      <w:r>
        <w:rPr>
          <w:rFonts w:hint="eastAsia" w:ascii="黑体" w:hAnsi="黑体" w:eastAsia="黑体" w:cs="黑体"/>
          <w:b w:val="0"/>
          <w:bCs/>
          <w:sz w:val="32"/>
          <w:szCs w:val="32"/>
          <w:lang w:eastAsia="zh-CN"/>
        </w:rPr>
        <w:t>，筑牢</w:t>
      </w:r>
      <w:r>
        <w:rPr>
          <w:rFonts w:hint="eastAsia" w:ascii="黑体" w:hAnsi="黑体" w:eastAsia="黑体" w:cs="黑体"/>
          <w:b w:val="0"/>
          <w:bCs/>
          <w:sz w:val="32"/>
          <w:szCs w:val="32"/>
        </w:rPr>
        <w:t>多元解纷</w:t>
      </w:r>
      <w:r>
        <w:rPr>
          <w:rFonts w:hint="eastAsia" w:ascii="黑体" w:hAnsi="黑体" w:eastAsia="黑体" w:cs="黑体"/>
          <w:b w:val="0"/>
          <w:bCs/>
          <w:sz w:val="32"/>
          <w:szCs w:val="32"/>
          <w:lang w:eastAsia="zh-CN"/>
        </w:rPr>
        <w:t>坚强</w:t>
      </w:r>
      <w:r>
        <w:rPr>
          <w:rFonts w:hint="eastAsia" w:ascii="黑体" w:hAnsi="黑体" w:eastAsia="黑体" w:cs="黑体"/>
          <w:b w:val="0"/>
          <w:bCs/>
          <w:sz w:val="32"/>
          <w:szCs w:val="32"/>
        </w:rPr>
        <w:t>防线</w:t>
      </w:r>
      <w:bookmarkEnd w:id="8"/>
    </w:p>
    <w:p w14:paraId="14DD8285">
      <w:pPr>
        <w:keepNext w:val="0"/>
        <w:keepLines w:val="0"/>
        <w:pageBreakBefore w:val="0"/>
        <w:widowControl w:val="0"/>
        <w:kinsoku/>
        <w:wordWrap/>
        <w:overflowPunct/>
        <w:topLinePunct w:val="0"/>
        <w:autoSpaceDE/>
        <w:autoSpaceDN/>
        <w:bidi w:val="0"/>
        <w:adjustRightInd/>
        <w:snapToGrid/>
        <w:spacing w:line="540" w:lineRule="exact"/>
        <w:ind w:left="0" w:leftChars="0" w:firstLine="643" w:firstLineChars="200"/>
        <w:jc w:val="both"/>
        <w:textAlignment w:val="auto"/>
        <w:outlineLvl w:val="1"/>
        <w:rPr>
          <w:rFonts w:hint="eastAsia" w:ascii="仿宋_GB2312" w:hAnsi="仿宋_GB2312" w:eastAsia="仿宋_GB2312" w:cs="仿宋_GB2312"/>
          <w:sz w:val="32"/>
          <w:szCs w:val="32"/>
        </w:rPr>
      </w:pPr>
      <w:bookmarkStart w:id="9" w:name="heading_9"/>
      <w:r>
        <w:rPr>
          <w:rFonts w:hint="eastAsia" w:ascii="楷体_GB2312" w:hAnsi="楷体_GB2312" w:eastAsia="楷体_GB2312" w:cs="楷体_GB2312"/>
          <w:b/>
          <w:bCs w:val="0"/>
          <w:sz w:val="32"/>
          <w:szCs w:val="32"/>
        </w:rPr>
        <w:t>（一）突出</w:t>
      </w:r>
      <w:r>
        <w:rPr>
          <w:rFonts w:hint="eastAsia" w:ascii="楷体_GB2312" w:hAnsi="楷体_GB2312" w:eastAsia="楷体_GB2312" w:cs="楷体_GB2312"/>
          <w:b/>
          <w:bCs w:val="0"/>
          <w:sz w:val="32"/>
          <w:szCs w:val="32"/>
          <w:lang w:eastAsia="zh-CN"/>
        </w:rPr>
        <w:t>基层稳定</w:t>
      </w:r>
      <w:r>
        <w:rPr>
          <w:rFonts w:hint="eastAsia" w:ascii="楷体_GB2312" w:hAnsi="楷体_GB2312" w:eastAsia="楷体_GB2312" w:cs="楷体_GB2312"/>
          <w:b/>
          <w:bCs w:val="0"/>
          <w:sz w:val="32"/>
          <w:szCs w:val="32"/>
        </w:rPr>
        <w:t>，</w:t>
      </w:r>
      <w:r>
        <w:rPr>
          <w:rFonts w:hint="eastAsia" w:ascii="楷体_GB2312" w:hAnsi="楷体_GB2312" w:eastAsia="楷体_GB2312" w:cs="楷体_GB2312"/>
          <w:b/>
          <w:bCs w:val="0"/>
          <w:sz w:val="32"/>
          <w:szCs w:val="32"/>
          <w:lang w:eastAsia="zh-CN"/>
        </w:rPr>
        <w:t>规范</w:t>
      </w:r>
      <w:r>
        <w:rPr>
          <w:rFonts w:hint="eastAsia" w:ascii="楷体_GB2312" w:hAnsi="楷体_GB2312" w:eastAsia="楷体_GB2312" w:cs="楷体_GB2312"/>
          <w:b/>
          <w:bCs w:val="0"/>
          <w:sz w:val="32"/>
          <w:szCs w:val="32"/>
        </w:rPr>
        <w:t>纠纷化解</w:t>
      </w:r>
      <w:bookmarkEnd w:id="9"/>
      <w:r>
        <w:rPr>
          <w:rFonts w:hint="eastAsia" w:ascii="楷体_GB2312" w:hAnsi="楷体_GB2312" w:eastAsia="楷体_GB2312" w:cs="楷体_GB2312"/>
          <w:b/>
          <w:bCs w:val="0"/>
          <w:sz w:val="32"/>
          <w:szCs w:val="32"/>
          <w:lang w:eastAsia="zh-CN"/>
        </w:rPr>
        <w:t>。</w:t>
      </w:r>
      <w:r>
        <w:rPr>
          <w:rFonts w:hint="eastAsia" w:ascii="仿宋_GB2312" w:hAnsi="仿宋_GB2312" w:eastAsia="仿宋_GB2312" w:cs="仿宋_GB2312"/>
          <w:sz w:val="32"/>
          <w:szCs w:val="32"/>
        </w:rPr>
        <w:t>大力践行新时代“枫桥经验”，完善镇公共法律服务工作站，整合镇综治中心、“党建+邻里中心”等载体，结合“民情茶室”“老兵调解室”等平台，构建“大调解”工作格局，广泛吸纳法律顾问、基层法律服务工作者、人民调解员等多方资源，为群众提供全覆盖、全领域、全过程的法律服务。推动镇村综治中心、“一站式”矛调平台实体化运行，2025年依法成功调解各类矛盾纠纷491件，按期办结信访事项112件，将风险隐患化解在一线，切实维护群众合法权益和镇域社会稳定。同时，高压推进反诈工作，推动形成“党委主导、政法主打、全民反诈”格局，电诈发案数同比下降9%，全力防范化解重大风险。</w:t>
      </w:r>
    </w:p>
    <w:p w14:paraId="099DE220">
      <w:pPr>
        <w:keepNext w:val="0"/>
        <w:keepLines w:val="0"/>
        <w:pageBreakBefore w:val="0"/>
        <w:widowControl w:val="0"/>
        <w:kinsoku/>
        <w:wordWrap/>
        <w:overflowPunct/>
        <w:topLinePunct w:val="0"/>
        <w:autoSpaceDE/>
        <w:autoSpaceDN/>
        <w:bidi w:val="0"/>
        <w:adjustRightInd/>
        <w:snapToGrid/>
        <w:spacing w:line="540" w:lineRule="exact"/>
        <w:ind w:left="0" w:leftChars="0" w:firstLine="643" w:firstLineChars="200"/>
        <w:jc w:val="both"/>
        <w:textAlignment w:val="auto"/>
        <w:outlineLvl w:val="1"/>
        <w:rPr>
          <w:rFonts w:hint="eastAsia" w:ascii="仿宋_GB2312" w:hAnsi="仿宋_GB2312" w:eastAsia="仿宋_GB2312" w:cs="仿宋_GB2312"/>
          <w:sz w:val="32"/>
          <w:szCs w:val="32"/>
        </w:rPr>
      </w:pPr>
      <w:bookmarkStart w:id="10" w:name="heading_10"/>
      <w:r>
        <w:rPr>
          <w:rFonts w:hint="eastAsia" w:ascii="楷体_GB2312" w:hAnsi="楷体_GB2312" w:eastAsia="楷体_GB2312" w:cs="楷体_GB2312"/>
          <w:b/>
          <w:bCs w:val="0"/>
          <w:sz w:val="32"/>
          <w:szCs w:val="32"/>
        </w:rPr>
        <w:t>（二）突出服务覆盖，规范决策流程</w:t>
      </w:r>
      <w:bookmarkEnd w:id="10"/>
      <w:r>
        <w:rPr>
          <w:rFonts w:hint="eastAsia" w:ascii="楷体_GB2312" w:hAnsi="楷体_GB2312" w:eastAsia="楷体_GB2312" w:cs="楷体_GB2312"/>
          <w:b/>
          <w:bCs w:val="0"/>
          <w:sz w:val="32"/>
          <w:szCs w:val="32"/>
          <w:lang w:eastAsia="zh-CN"/>
        </w:rPr>
        <w:t>。</w:t>
      </w:r>
      <w:r>
        <w:rPr>
          <w:rFonts w:hint="eastAsia" w:ascii="仿宋_GB2312" w:hAnsi="仿宋_GB2312" w:eastAsia="仿宋_GB2312" w:cs="仿宋_GB2312"/>
          <w:sz w:val="32"/>
          <w:szCs w:val="32"/>
        </w:rPr>
        <w:t>全面落实党委法律顾问制度，聘请安荣律师事务所律师为参内镇法律顾问，常态化参与我镇重大行政决策合法性审查、复杂疑难应诉案件讨论、重大合同签订等工作，为政府行政行为提供专业法律意见，确保重大决策、重要合同合法合规。17个村（社区）均与法律顾问签约，全力提升“一村（居）一法律顾问”服务实效，为村级事务提供法治支撑，确保各村（居）党务村务工作在法治轨道上开展。严格执行“三重一大”集体决策制度，凡属重大事项均按“集体领导、民主集中、个别酝酿、会议决定”原则，经党政联席会议集体讨论决定后实施，确保决策科学、程序正当。</w:t>
      </w:r>
    </w:p>
    <w:p w14:paraId="709FDE96">
      <w:pPr>
        <w:keepNext w:val="0"/>
        <w:keepLines w:val="0"/>
        <w:pageBreakBefore w:val="0"/>
        <w:widowControl w:val="0"/>
        <w:kinsoku/>
        <w:wordWrap/>
        <w:overflowPunct/>
        <w:topLinePunct w:val="0"/>
        <w:autoSpaceDE/>
        <w:autoSpaceDN/>
        <w:bidi w:val="0"/>
        <w:adjustRightInd/>
        <w:snapToGrid/>
        <w:spacing w:line="540" w:lineRule="exact"/>
        <w:ind w:left="0" w:leftChars="0" w:firstLine="643" w:firstLineChars="200"/>
        <w:jc w:val="both"/>
        <w:textAlignment w:val="auto"/>
        <w:outlineLvl w:val="1"/>
        <w:rPr>
          <w:rFonts w:hint="eastAsia" w:ascii="仿宋_GB2312" w:hAnsi="仿宋_GB2312" w:eastAsia="仿宋_GB2312" w:cs="仿宋_GB2312"/>
          <w:sz w:val="32"/>
          <w:szCs w:val="32"/>
        </w:rPr>
      </w:pPr>
      <w:bookmarkStart w:id="11" w:name="heading_11"/>
      <w:r>
        <w:rPr>
          <w:rFonts w:hint="eastAsia" w:ascii="楷体_GB2312" w:hAnsi="楷体_GB2312" w:eastAsia="楷体_GB2312" w:cs="楷体_GB2312"/>
          <w:b/>
          <w:bCs w:val="0"/>
          <w:sz w:val="32"/>
          <w:szCs w:val="32"/>
        </w:rPr>
        <w:t>（三）突出监督公开，规范权力机制</w:t>
      </w:r>
      <w:bookmarkEnd w:id="11"/>
      <w:r>
        <w:rPr>
          <w:rFonts w:hint="eastAsia" w:ascii="楷体_GB2312" w:hAnsi="楷体_GB2312" w:eastAsia="楷体_GB2312" w:cs="楷体_GB2312"/>
          <w:b/>
          <w:bCs w:val="0"/>
          <w:sz w:val="32"/>
          <w:szCs w:val="32"/>
          <w:lang w:eastAsia="zh-CN"/>
        </w:rPr>
        <w:t>。</w:t>
      </w:r>
      <w:r>
        <w:rPr>
          <w:rFonts w:hint="eastAsia" w:ascii="仿宋_GB2312" w:hAnsi="仿宋_GB2312" w:eastAsia="仿宋_GB2312" w:cs="仿宋_GB2312"/>
          <w:sz w:val="32"/>
          <w:szCs w:val="32"/>
        </w:rPr>
        <w:t>不断健全党务政务公开体系，拓宽公开渠道、深化公开内容，推动政务公开标准化，2025年共主动公开政务信息111条，内容涉及民生、项目、执法等方面，通过宣传栏、政府信息公开网站、小微权</w:t>
      </w:r>
      <w:r>
        <w:rPr>
          <w:rFonts w:hint="eastAsia" w:ascii="仿宋_GB2312" w:hAnsi="仿宋_GB2312" w:eastAsia="仿宋_GB2312" w:cs="仿宋_GB2312"/>
          <w:sz w:val="32"/>
          <w:szCs w:val="32"/>
          <w:lang w:eastAsia="zh-CN"/>
        </w:rPr>
        <w:t>力</w:t>
      </w:r>
      <w:r>
        <w:rPr>
          <w:rFonts w:hint="eastAsia" w:ascii="仿宋_GB2312" w:hAnsi="仿宋_GB2312" w:eastAsia="仿宋_GB2312" w:cs="仿宋_GB2312"/>
          <w:sz w:val="32"/>
          <w:szCs w:val="32"/>
        </w:rPr>
        <w:t>监督平台和微信靶向监督管理群等方式及时予以公开，广泛接受群众监督。同时，自觉接受人大法律监督、纪检监察监督和社会各界监督，规范重大事项决策程序，全年办理“12345”政务服务热线诉求1220件，按时办结率保持100%，全力保障群众的知情权、参与权和监督权，确保权力规范运行。</w:t>
      </w:r>
    </w:p>
    <w:p w14:paraId="477ADEBE">
      <w:pPr>
        <w:keepNext w:val="0"/>
        <w:keepLines w:val="0"/>
        <w:pageBreakBefore w:val="0"/>
        <w:widowControl w:val="0"/>
        <w:kinsoku/>
        <w:wordWrap/>
        <w:overflowPunct/>
        <w:topLinePunct w:val="0"/>
        <w:autoSpaceDE/>
        <w:autoSpaceDN/>
        <w:bidi w:val="0"/>
        <w:adjustRightInd/>
        <w:snapToGrid/>
        <w:spacing w:line="540" w:lineRule="exact"/>
        <w:ind w:left="0" w:leftChars="0" w:firstLine="640" w:firstLineChars="200"/>
        <w:jc w:val="both"/>
        <w:textAlignment w:val="auto"/>
        <w:outlineLvl w:val="0"/>
        <w:rPr>
          <w:rFonts w:hint="eastAsia" w:ascii="黑体" w:hAnsi="黑体" w:eastAsia="黑体" w:cs="黑体"/>
          <w:b w:val="0"/>
          <w:bCs/>
          <w:sz w:val="32"/>
          <w:szCs w:val="32"/>
        </w:rPr>
      </w:pPr>
      <w:bookmarkStart w:id="12" w:name="heading_12"/>
      <w:r>
        <w:rPr>
          <w:rFonts w:hint="eastAsia" w:ascii="黑体" w:hAnsi="黑体" w:eastAsia="黑体" w:cs="黑体"/>
          <w:b w:val="0"/>
          <w:bCs/>
          <w:sz w:val="32"/>
          <w:szCs w:val="32"/>
        </w:rPr>
        <w:t>四、存在问题与不足</w:t>
      </w:r>
      <w:bookmarkEnd w:id="12"/>
    </w:p>
    <w:p w14:paraId="5A61B273">
      <w:pPr>
        <w:keepNext w:val="0"/>
        <w:keepLines w:val="0"/>
        <w:pageBreakBefore w:val="0"/>
        <w:widowControl w:val="0"/>
        <w:kinsoku/>
        <w:wordWrap/>
        <w:overflowPunct/>
        <w:topLinePunct w:val="0"/>
        <w:autoSpaceDE/>
        <w:autoSpaceDN/>
        <w:bidi w:val="0"/>
        <w:adjustRightInd/>
        <w:snapToGrid/>
        <w:spacing w:line="540" w:lineRule="exact"/>
        <w:ind w:left="0" w:leftChars="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参内镇2025年度法治政府建设工作虽然取得了一定成绩，但深入剖析仍存在一定不足和薄弱环节，与法治政府建设高标准要求和群众期盼相比还有差距：</w:t>
      </w:r>
    </w:p>
    <w:p w14:paraId="72A4BC47">
      <w:pPr>
        <w:keepNext w:val="0"/>
        <w:keepLines w:val="0"/>
        <w:pageBreakBefore w:val="0"/>
        <w:widowControl w:val="0"/>
        <w:kinsoku/>
        <w:wordWrap/>
        <w:overflowPunct/>
        <w:topLinePunct w:val="0"/>
        <w:autoSpaceDE/>
        <w:autoSpaceDN/>
        <w:bidi w:val="0"/>
        <w:adjustRightInd/>
        <w:snapToGrid/>
        <w:spacing w:line="540" w:lineRule="exact"/>
        <w:ind w:left="0" w:leftChars="0" w:firstLine="643" w:firstLineChars="200"/>
        <w:jc w:val="both"/>
        <w:textAlignment w:val="auto"/>
        <w:outlineLvl w:val="1"/>
        <w:rPr>
          <w:rFonts w:hint="eastAsia" w:ascii="仿宋_GB2312" w:hAnsi="仿宋_GB2312" w:eastAsia="仿宋_GB2312" w:cs="仿宋_GB2312"/>
          <w:sz w:val="32"/>
          <w:szCs w:val="32"/>
        </w:rPr>
      </w:pPr>
      <w:bookmarkStart w:id="13" w:name="heading_13"/>
      <w:r>
        <w:rPr>
          <w:rFonts w:hint="eastAsia" w:ascii="楷体_GB2312" w:hAnsi="楷体_GB2312" w:eastAsia="楷体_GB2312" w:cs="楷体_GB2312"/>
          <w:b/>
          <w:bCs w:val="0"/>
          <w:sz w:val="32"/>
          <w:szCs w:val="32"/>
        </w:rPr>
        <w:t>（一）法治责任压力传导不足</w:t>
      </w:r>
      <w:bookmarkEnd w:id="13"/>
      <w:r>
        <w:rPr>
          <w:rFonts w:hint="eastAsia" w:ascii="楷体_GB2312" w:hAnsi="楷体_GB2312" w:eastAsia="楷体_GB2312" w:cs="楷体_GB2312"/>
          <w:b/>
          <w:bCs w:val="0"/>
          <w:sz w:val="32"/>
          <w:szCs w:val="32"/>
          <w:lang w:eastAsia="zh-CN"/>
        </w:rPr>
        <w:t>。</w:t>
      </w:r>
      <w:r>
        <w:rPr>
          <w:rFonts w:hint="eastAsia" w:ascii="仿宋_GB2312" w:hAnsi="仿宋_GB2312" w:eastAsia="仿宋_GB2312" w:cs="仿宋_GB2312"/>
          <w:sz w:val="32"/>
          <w:szCs w:val="32"/>
        </w:rPr>
        <w:t>法治建设责任在向基层“末梢”压紧压实上存在薄弱环节，极个别干部对法治建设、依法治镇的认识还不够到位，存在重业务轻法治的现象，法治理念融入日常工作还不够深入。对村（社区）“两委”干部，特别是主要负责人的法治能力培养和日常履职监督的刚性约束不足，部分干部运用法治方式管理村级事务、调处矛盾的水平参差不齐。</w:t>
      </w:r>
    </w:p>
    <w:p w14:paraId="07C38BCE">
      <w:pPr>
        <w:keepNext w:val="0"/>
        <w:keepLines w:val="0"/>
        <w:pageBreakBefore w:val="0"/>
        <w:widowControl w:val="0"/>
        <w:kinsoku/>
        <w:wordWrap/>
        <w:overflowPunct/>
        <w:topLinePunct w:val="0"/>
        <w:autoSpaceDE/>
        <w:autoSpaceDN/>
        <w:bidi w:val="0"/>
        <w:adjustRightInd/>
        <w:snapToGrid/>
        <w:spacing w:line="540" w:lineRule="exact"/>
        <w:ind w:left="0" w:leftChars="0" w:firstLine="643" w:firstLineChars="200"/>
        <w:jc w:val="both"/>
        <w:textAlignment w:val="auto"/>
        <w:outlineLvl w:val="1"/>
        <w:rPr>
          <w:rFonts w:hint="eastAsia" w:ascii="仿宋_GB2312" w:hAnsi="仿宋_GB2312" w:eastAsia="仿宋_GB2312" w:cs="仿宋_GB2312"/>
          <w:sz w:val="32"/>
          <w:szCs w:val="32"/>
        </w:rPr>
      </w:pPr>
      <w:bookmarkStart w:id="14" w:name="heading_14"/>
      <w:r>
        <w:rPr>
          <w:rFonts w:hint="eastAsia" w:ascii="楷体_GB2312" w:hAnsi="楷体_GB2312" w:eastAsia="楷体_GB2312" w:cs="楷体_GB2312"/>
          <w:b/>
          <w:bCs w:val="0"/>
          <w:sz w:val="32"/>
          <w:szCs w:val="32"/>
        </w:rPr>
        <w:t>（二）法治队伍专业能力不强</w:t>
      </w:r>
      <w:bookmarkEnd w:id="14"/>
      <w:r>
        <w:rPr>
          <w:rFonts w:hint="eastAsia" w:ascii="楷体_GB2312" w:hAnsi="楷体_GB2312" w:eastAsia="楷体_GB2312" w:cs="楷体_GB2312"/>
          <w:b/>
          <w:bCs w:val="0"/>
          <w:sz w:val="32"/>
          <w:szCs w:val="32"/>
          <w:lang w:eastAsia="zh-CN"/>
        </w:rPr>
        <w:t>。</w:t>
      </w:r>
      <w:r>
        <w:rPr>
          <w:rFonts w:hint="eastAsia" w:ascii="仿宋_GB2312" w:hAnsi="仿宋_GB2312" w:eastAsia="仿宋_GB2312" w:cs="仿宋_GB2312"/>
          <w:sz w:val="32"/>
          <w:szCs w:val="32"/>
        </w:rPr>
        <w:t>行政执法人员大多身兼多职，缺乏系统性、专业性，日常业务指导、案例研判和执法监督的精细化、常态化机制不健全，面对复杂执法场景或新型违法行为，部分执法人员存在“本领恐慌”，执法的规范性、精准性及“温度”结合有待提升。同时，部分人民调解员专业水平不高，矛盾纠纷法治化化解能力有待加强，专业普法力量</w:t>
      </w:r>
      <w:r>
        <w:rPr>
          <w:rFonts w:hint="eastAsia" w:ascii="仿宋_GB2312" w:hAnsi="仿宋_GB2312" w:eastAsia="仿宋_GB2312" w:cs="仿宋_GB2312"/>
          <w:sz w:val="32"/>
          <w:szCs w:val="32"/>
          <w:lang w:eastAsia="zh-CN"/>
        </w:rPr>
        <w:t>还有</w:t>
      </w:r>
      <w:r>
        <w:rPr>
          <w:rFonts w:hint="eastAsia" w:ascii="仿宋_GB2312" w:hAnsi="仿宋_GB2312" w:eastAsia="仿宋_GB2312" w:cs="仿宋_GB2312"/>
          <w:sz w:val="32"/>
          <w:szCs w:val="32"/>
        </w:rPr>
        <w:t>不足。</w:t>
      </w:r>
    </w:p>
    <w:p w14:paraId="769DCEE9">
      <w:pPr>
        <w:keepNext w:val="0"/>
        <w:keepLines w:val="0"/>
        <w:pageBreakBefore w:val="0"/>
        <w:widowControl w:val="0"/>
        <w:kinsoku/>
        <w:wordWrap/>
        <w:overflowPunct/>
        <w:topLinePunct w:val="0"/>
        <w:autoSpaceDE/>
        <w:autoSpaceDN/>
        <w:bidi w:val="0"/>
        <w:adjustRightInd/>
        <w:snapToGrid/>
        <w:spacing w:line="540" w:lineRule="exact"/>
        <w:ind w:left="0" w:leftChars="0" w:firstLine="643" w:firstLineChars="200"/>
        <w:jc w:val="both"/>
        <w:textAlignment w:val="auto"/>
        <w:outlineLvl w:val="1"/>
        <w:rPr>
          <w:rFonts w:hint="eastAsia" w:ascii="仿宋_GB2312" w:hAnsi="仿宋_GB2312" w:eastAsia="仿宋_GB2312" w:cs="仿宋_GB2312"/>
          <w:sz w:val="32"/>
          <w:szCs w:val="32"/>
        </w:rPr>
      </w:pPr>
      <w:bookmarkStart w:id="15" w:name="heading_15"/>
      <w:r>
        <w:rPr>
          <w:rFonts w:hint="eastAsia" w:ascii="楷体_GB2312" w:hAnsi="楷体_GB2312" w:eastAsia="楷体_GB2312" w:cs="楷体_GB2312"/>
          <w:b/>
          <w:bCs w:val="0"/>
          <w:sz w:val="32"/>
          <w:szCs w:val="32"/>
        </w:rPr>
        <w:t>（三）普法宣传质效有待提升</w:t>
      </w:r>
      <w:bookmarkEnd w:id="15"/>
      <w:r>
        <w:rPr>
          <w:rFonts w:hint="eastAsia" w:ascii="楷体_GB2312" w:hAnsi="楷体_GB2312" w:eastAsia="楷体_GB2312" w:cs="楷体_GB2312"/>
          <w:b/>
          <w:bCs w:val="0"/>
          <w:sz w:val="32"/>
          <w:szCs w:val="32"/>
          <w:lang w:eastAsia="zh-CN"/>
        </w:rPr>
        <w:t>。</w:t>
      </w:r>
      <w:r>
        <w:rPr>
          <w:rFonts w:hint="eastAsia" w:ascii="仿宋_GB2312" w:hAnsi="仿宋_GB2312" w:eastAsia="仿宋_GB2312" w:cs="仿宋_GB2312"/>
          <w:sz w:val="32"/>
          <w:szCs w:val="32"/>
        </w:rPr>
        <w:t>普法工作虽实现“广覆盖”，但“入脑入心”效果有提升空间，宣传形式创新不足，仍存在传统宣传模式依赖，结合参内本土鲜活案例创作的、群众喜闻乐见的法治文化产品少，互动性、体验感不强。精准普法力度不够，未能完全针对企业家、青少年、老年人、拆迁户等不同群体的差异化需求开展“定制式”普法，与群众多元化需求还有差距。</w:t>
      </w:r>
    </w:p>
    <w:p w14:paraId="758C2798">
      <w:pPr>
        <w:keepNext w:val="0"/>
        <w:keepLines w:val="0"/>
        <w:pageBreakBefore w:val="0"/>
        <w:widowControl w:val="0"/>
        <w:kinsoku/>
        <w:wordWrap/>
        <w:overflowPunct/>
        <w:topLinePunct w:val="0"/>
        <w:autoSpaceDE/>
        <w:autoSpaceDN/>
        <w:bidi w:val="0"/>
        <w:adjustRightInd/>
        <w:snapToGrid/>
        <w:spacing w:line="540" w:lineRule="exact"/>
        <w:ind w:left="0" w:leftChars="0" w:firstLine="643" w:firstLineChars="200"/>
        <w:jc w:val="both"/>
        <w:textAlignment w:val="auto"/>
        <w:outlineLvl w:val="1"/>
        <w:rPr>
          <w:rFonts w:hint="eastAsia" w:ascii="仿宋_GB2312" w:hAnsi="仿宋_GB2312" w:eastAsia="仿宋_GB2312" w:cs="仿宋_GB2312"/>
          <w:sz w:val="32"/>
          <w:szCs w:val="32"/>
        </w:rPr>
      </w:pPr>
      <w:bookmarkStart w:id="16" w:name="heading_16"/>
      <w:r>
        <w:rPr>
          <w:rFonts w:hint="eastAsia" w:ascii="楷体_GB2312" w:hAnsi="楷体_GB2312" w:eastAsia="楷体_GB2312" w:cs="楷体_GB2312"/>
          <w:b/>
          <w:bCs w:val="0"/>
          <w:sz w:val="32"/>
          <w:szCs w:val="32"/>
        </w:rPr>
        <w:t>（四）数字法治建设谋划不足</w:t>
      </w:r>
      <w:bookmarkEnd w:id="16"/>
      <w:r>
        <w:rPr>
          <w:rFonts w:hint="eastAsia" w:ascii="楷体_GB2312" w:hAnsi="楷体_GB2312" w:eastAsia="楷体_GB2312" w:cs="楷体_GB2312"/>
          <w:b/>
          <w:bCs w:val="0"/>
          <w:sz w:val="32"/>
          <w:szCs w:val="32"/>
          <w:lang w:eastAsia="zh-CN"/>
        </w:rPr>
        <w:t>。</w:t>
      </w:r>
      <w:r>
        <w:rPr>
          <w:rFonts w:hint="eastAsia" w:ascii="仿宋_GB2312" w:hAnsi="仿宋_GB2312" w:eastAsia="仿宋_GB2312" w:cs="仿宋_GB2312"/>
          <w:sz w:val="32"/>
          <w:szCs w:val="32"/>
        </w:rPr>
        <w:t>面对治理数字化趋势，运用法治思维引领和规范数字治理的思考与行动相对滞后。对于“雪亮工程”、网格平台等产生的公共数据、个人信息，在依法使用、安全管理、隐私保护等方面缺乏系统性的规范，利用大数据、人工智能辅助决策、预警风险的前瞻性法治框架设计不足，制约数字时代治理效能的法治化跃升。</w:t>
      </w:r>
    </w:p>
    <w:p w14:paraId="68161C55">
      <w:pPr>
        <w:keepNext w:val="0"/>
        <w:keepLines w:val="0"/>
        <w:pageBreakBefore w:val="0"/>
        <w:widowControl w:val="0"/>
        <w:kinsoku/>
        <w:wordWrap/>
        <w:overflowPunct/>
        <w:topLinePunct w:val="0"/>
        <w:autoSpaceDE/>
        <w:autoSpaceDN/>
        <w:bidi w:val="0"/>
        <w:adjustRightInd/>
        <w:snapToGrid/>
        <w:spacing w:line="540" w:lineRule="exact"/>
        <w:ind w:left="0" w:leftChars="0" w:firstLine="640" w:firstLineChars="200"/>
        <w:jc w:val="both"/>
        <w:textAlignment w:val="auto"/>
        <w:outlineLvl w:val="0"/>
        <w:rPr>
          <w:rFonts w:hint="eastAsia" w:ascii="黑体" w:hAnsi="黑体" w:eastAsia="黑体" w:cs="黑体"/>
          <w:b w:val="0"/>
          <w:bCs/>
          <w:sz w:val="32"/>
          <w:szCs w:val="32"/>
        </w:rPr>
      </w:pPr>
      <w:bookmarkStart w:id="17" w:name="heading_17"/>
      <w:r>
        <w:rPr>
          <w:rFonts w:hint="eastAsia" w:ascii="黑体" w:hAnsi="黑体" w:eastAsia="黑体" w:cs="黑体"/>
          <w:b w:val="0"/>
          <w:bCs/>
          <w:sz w:val="32"/>
          <w:szCs w:val="32"/>
        </w:rPr>
        <w:t>五、下一步工作计划</w:t>
      </w:r>
      <w:bookmarkEnd w:id="17"/>
    </w:p>
    <w:p w14:paraId="6800394C">
      <w:pPr>
        <w:keepNext w:val="0"/>
        <w:keepLines w:val="0"/>
        <w:pageBreakBefore w:val="0"/>
        <w:widowControl w:val="0"/>
        <w:kinsoku/>
        <w:wordWrap/>
        <w:overflowPunct/>
        <w:topLinePunct w:val="0"/>
        <w:autoSpaceDE/>
        <w:autoSpaceDN/>
        <w:bidi w:val="0"/>
        <w:adjustRightInd/>
        <w:snapToGrid/>
        <w:spacing w:line="540" w:lineRule="exact"/>
        <w:ind w:left="0" w:leftChars="0" w:firstLine="643" w:firstLineChars="200"/>
        <w:jc w:val="both"/>
        <w:textAlignment w:val="auto"/>
        <w:outlineLvl w:val="1"/>
        <w:rPr>
          <w:rFonts w:hint="eastAsia" w:ascii="仿宋_GB2312" w:hAnsi="仿宋_GB2312" w:eastAsia="仿宋_GB2312" w:cs="仿宋_GB2312"/>
          <w:sz w:val="32"/>
          <w:szCs w:val="32"/>
        </w:rPr>
      </w:pPr>
      <w:bookmarkStart w:id="18" w:name="heading_18"/>
      <w:r>
        <w:rPr>
          <w:rFonts w:hint="eastAsia" w:ascii="楷体_GB2312" w:hAnsi="楷体_GB2312" w:eastAsia="楷体_GB2312" w:cs="楷体_GB2312"/>
          <w:b/>
          <w:bCs w:val="0"/>
          <w:sz w:val="32"/>
          <w:szCs w:val="32"/>
        </w:rPr>
        <w:t>（一）强化理论转化，提升法治实践能力</w:t>
      </w:r>
      <w:bookmarkEnd w:id="18"/>
      <w:r>
        <w:rPr>
          <w:rFonts w:hint="eastAsia" w:ascii="楷体_GB2312" w:hAnsi="楷体_GB2312" w:eastAsia="楷体_GB2312" w:cs="楷体_GB2312"/>
          <w:b/>
          <w:bCs w:val="0"/>
          <w:sz w:val="32"/>
          <w:szCs w:val="32"/>
          <w:lang w:eastAsia="zh-CN"/>
        </w:rPr>
        <w:t>。</w:t>
      </w:r>
      <w:r>
        <w:rPr>
          <w:rFonts w:hint="eastAsia" w:ascii="仿宋_GB2312" w:hAnsi="仿宋_GB2312" w:eastAsia="仿宋_GB2312" w:cs="仿宋_GB2312"/>
          <w:sz w:val="32"/>
          <w:szCs w:val="32"/>
        </w:rPr>
        <w:t>坚持在“学”字上下功夫，完善领导班子集体学法制度，带头学法用法，教育引导全体党员干部充分认识依法行政的必要性和重要性，深入贯彻习近平法治思想，进一步提升依法行政能力。重点在“用”字上出效果，制定针对性法治学习计划，结合参内实际开展专题调研，推动理论学习成果转化为务实管用的政策举措，将法律意识贯穿到工作各领域、全过程。</w:t>
      </w:r>
    </w:p>
    <w:p w14:paraId="483DD3EE">
      <w:pPr>
        <w:keepNext w:val="0"/>
        <w:keepLines w:val="0"/>
        <w:pageBreakBefore w:val="0"/>
        <w:widowControl w:val="0"/>
        <w:kinsoku/>
        <w:wordWrap/>
        <w:overflowPunct/>
        <w:topLinePunct w:val="0"/>
        <w:autoSpaceDE/>
        <w:autoSpaceDN/>
        <w:bidi w:val="0"/>
        <w:adjustRightInd/>
        <w:snapToGrid/>
        <w:spacing w:line="540" w:lineRule="exact"/>
        <w:ind w:left="0" w:leftChars="0" w:firstLine="643" w:firstLineChars="200"/>
        <w:jc w:val="both"/>
        <w:textAlignment w:val="auto"/>
        <w:outlineLvl w:val="1"/>
        <w:rPr>
          <w:rFonts w:hint="eastAsia" w:ascii="仿宋_GB2312" w:hAnsi="仿宋_GB2312" w:eastAsia="仿宋_GB2312" w:cs="仿宋_GB2312"/>
          <w:sz w:val="32"/>
          <w:szCs w:val="32"/>
        </w:rPr>
      </w:pPr>
      <w:bookmarkStart w:id="19" w:name="heading_19"/>
      <w:r>
        <w:rPr>
          <w:rFonts w:hint="eastAsia" w:ascii="楷体_GB2312" w:hAnsi="楷体_GB2312" w:eastAsia="楷体_GB2312" w:cs="楷体_GB2312"/>
          <w:b/>
          <w:bCs w:val="0"/>
          <w:sz w:val="32"/>
          <w:szCs w:val="32"/>
        </w:rPr>
        <w:t>（二）拧紧责任链条，夯实基层法治基础</w:t>
      </w:r>
      <w:bookmarkEnd w:id="19"/>
      <w:r>
        <w:rPr>
          <w:rFonts w:hint="eastAsia" w:ascii="楷体_GB2312" w:hAnsi="楷体_GB2312" w:eastAsia="楷体_GB2312" w:cs="楷体_GB2312"/>
          <w:b/>
          <w:bCs w:val="0"/>
          <w:sz w:val="32"/>
          <w:szCs w:val="32"/>
          <w:lang w:eastAsia="zh-CN"/>
        </w:rPr>
        <w:t>。</w:t>
      </w:r>
      <w:r>
        <w:rPr>
          <w:rFonts w:hint="eastAsia" w:ascii="仿宋_GB2312" w:hAnsi="仿宋_GB2312" w:eastAsia="仿宋_GB2312" w:cs="仿宋_GB2312"/>
          <w:sz w:val="32"/>
          <w:szCs w:val="32"/>
        </w:rPr>
        <w:t>切实履行好抓法治建设第一责任人职责，立足实际带好队伍，坚持把法治建设与参内中心工作一起谋划、一起部署、一起考核，持续把依法治镇列入重要议事日程，定期研判部署有关工作情况。修订镇对村（社区）法治考核细则，</w:t>
      </w:r>
      <w:r>
        <w:rPr>
          <w:rFonts w:hint="eastAsia" w:ascii="仿宋_GB2312" w:hAnsi="仿宋_GB2312" w:eastAsia="仿宋_GB2312" w:cs="仿宋_GB2312"/>
          <w:sz w:val="32"/>
          <w:szCs w:val="32"/>
          <w:lang w:eastAsia="zh-CN"/>
        </w:rPr>
        <w:t>加强</w:t>
      </w:r>
      <w:r>
        <w:rPr>
          <w:rFonts w:hint="eastAsia" w:ascii="仿宋_GB2312" w:hAnsi="仿宋_GB2312" w:eastAsia="仿宋_GB2312" w:cs="仿宋_GB2312"/>
          <w:sz w:val="32"/>
          <w:szCs w:val="32"/>
        </w:rPr>
        <w:t>党组织书记年度述法评议并强化结果运用，</w:t>
      </w:r>
      <w:r>
        <w:rPr>
          <w:rFonts w:hint="eastAsia" w:ascii="仿宋_GB2312" w:hAnsi="仿宋_GB2312" w:eastAsia="仿宋_GB2312" w:cs="仿宋_GB2312"/>
          <w:sz w:val="32"/>
          <w:szCs w:val="32"/>
          <w:lang w:eastAsia="zh-CN"/>
        </w:rPr>
        <w:t>定期</w:t>
      </w:r>
      <w:r>
        <w:rPr>
          <w:rFonts w:hint="eastAsia" w:ascii="仿宋_GB2312" w:hAnsi="仿宋_GB2312" w:eastAsia="仿宋_GB2312" w:cs="仿宋_GB2312"/>
          <w:sz w:val="32"/>
          <w:szCs w:val="32"/>
        </w:rPr>
        <w:t>召开行政执法案例分析会，完善覆盖全域、穿透到底的责任链条和监督考核机制。</w:t>
      </w:r>
    </w:p>
    <w:p w14:paraId="1757EEAB">
      <w:pPr>
        <w:keepNext w:val="0"/>
        <w:keepLines w:val="0"/>
        <w:pageBreakBefore w:val="0"/>
        <w:widowControl w:val="0"/>
        <w:kinsoku/>
        <w:wordWrap/>
        <w:overflowPunct/>
        <w:topLinePunct w:val="0"/>
        <w:autoSpaceDE/>
        <w:autoSpaceDN/>
        <w:bidi w:val="0"/>
        <w:adjustRightInd/>
        <w:snapToGrid/>
        <w:spacing w:line="540" w:lineRule="exact"/>
        <w:ind w:left="0" w:leftChars="0" w:firstLine="643" w:firstLineChars="200"/>
        <w:jc w:val="both"/>
        <w:textAlignment w:val="auto"/>
        <w:outlineLvl w:val="1"/>
        <w:rPr>
          <w:rFonts w:hint="eastAsia" w:ascii="仿宋_GB2312" w:hAnsi="仿宋_GB2312" w:eastAsia="仿宋_GB2312" w:cs="仿宋_GB2312"/>
          <w:sz w:val="32"/>
          <w:szCs w:val="32"/>
        </w:rPr>
      </w:pPr>
      <w:bookmarkStart w:id="20" w:name="heading_20"/>
      <w:r>
        <w:rPr>
          <w:rFonts w:hint="eastAsia" w:ascii="楷体_GB2312" w:hAnsi="楷体_GB2312" w:eastAsia="楷体_GB2312" w:cs="楷体_GB2312"/>
          <w:b/>
          <w:bCs w:val="0"/>
          <w:sz w:val="32"/>
          <w:szCs w:val="32"/>
        </w:rPr>
        <w:t>（三）创新</w:t>
      </w:r>
      <w:r>
        <w:rPr>
          <w:rFonts w:hint="eastAsia" w:ascii="楷体_GB2312" w:hAnsi="楷体_GB2312" w:eastAsia="楷体_GB2312" w:cs="楷体_GB2312"/>
          <w:b/>
          <w:bCs w:val="0"/>
          <w:sz w:val="32"/>
          <w:szCs w:val="32"/>
          <w:lang w:eastAsia="zh-CN"/>
        </w:rPr>
        <w:t>宣传</w:t>
      </w:r>
      <w:r>
        <w:rPr>
          <w:rFonts w:hint="eastAsia" w:ascii="楷体_GB2312" w:hAnsi="楷体_GB2312" w:eastAsia="楷体_GB2312" w:cs="楷体_GB2312"/>
          <w:b/>
          <w:bCs w:val="0"/>
          <w:sz w:val="32"/>
          <w:szCs w:val="32"/>
        </w:rPr>
        <w:t>模式，增强法治建设实效</w:t>
      </w:r>
      <w:bookmarkEnd w:id="20"/>
      <w:r>
        <w:rPr>
          <w:rFonts w:hint="eastAsia" w:ascii="楷体_GB2312" w:hAnsi="楷体_GB2312" w:eastAsia="楷体_GB2312" w:cs="楷体_GB2312"/>
          <w:b/>
          <w:bCs w:val="0"/>
          <w:sz w:val="32"/>
          <w:szCs w:val="32"/>
          <w:lang w:eastAsia="zh-CN"/>
        </w:rPr>
        <w:t>。</w:t>
      </w:r>
      <w:r>
        <w:rPr>
          <w:rFonts w:hint="eastAsia" w:ascii="仿宋_GB2312" w:hAnsi="仿宋_GB2312" w:eastAsia="仿宋_GB2312" w:cs="仿宋_GB2312"/>
          <w:sz w:val="32"/>
          <w:szCs w:val="32"/>
        </w:rPr>
        <w:t>进一步拓宽普法宣传手段，丰富学习教育形式，研究法治文化创作激励办法，打造“法治参内”品牌</w:t>
      </w:r>
      <w:r>
        <w:rPr>
          <w:rFonts w:hint="eastAsia" w:ascii="仿宋_GB2312" w:hAnsi="仿宋_GB2312" w:eastAsia="仿宋_GB2312" w:cs="仿宋_GB2312"/>
          <w:sz w:val="32"/>
          <w:szCs w:val="32"/>
          <w:lang w:eastAsia="zh-CN"/>
        </w:rPr>
        <w:t>。组织</w:t>
      </w:r>
      <w:r>
        <w:rPr>
          <w:rFonts w:hint="eastAsia" w:ascii="仿宋_GB2312" w:hAnsi="仿宋_GB2312" w:eastAsia="仿宋_GB2312" w:cs="仿宋_GB2312"/>
          <w:sz w:val="32"/>
          <w:szCs w:val="32"/>
        </w:rPr>
        <w:t>开展法治游园、巡回展等互动式普法活动，开展分众化、精准化法治宣传。建强用好“蒲公英”普法志愿者等队伍，深化“法律八进”活动，依托“参内新城事”微信公众号等新媒体阵地，策划线上系列法治宣传新形式，提升新媒体普法吸引力。进一步完善公共法律服务工作站，健全矛盾纠纷多元化解机制，推动以法治手段化解各类矛盾纠纷，将各类矛盾隐患化解在萌芽状态。</w:t>
      </w:r>
    </w:p>
    <w:p w14:paraId="02B21D80">
      <w:pPr>
        <w:keepNext w:val="0"/>
        <w:keepLines w:val="0"/>
        <w:pageBreakBefore w:val="0"/>
        <w:widowControl w:val="0"/>
        <w:kinsoku/>
        <w:wordWrap/>
        <w:overflowPunct/>
        <w:topLinePunct w:val="0"/>
        <w:autoSpaceDE/>
        <w:autoSpaceDN/>
        <w:bidi w:val="0"/>
        <w:adjustRightInd/>
        <w:snapToGrid/>
        <w:spacing w:line="540" w:lineRule="exact"/>
        <w:ind w:left="0" w:leftChars="0" w:firstLine="643" w:firstLineChars="200"/>
        <w:jc w:val="both"/>
        <w:textAlignment w:val="auto"/>
        <w:outlineLvl w:val="1"/>
        <w:rPr>
          <w:rFonts w:hint="eastAsia" w:ascii="仿宋_GB2312" w:hAnsi="仿宋_GB2312" w:eastAsia="仿宋_GB2312" w:cs="仿宋_GB2312"/>
          <w:sz w:val="32"/>
          <w:szCs w:val="32"/>
        </w:rPr>
      </w:pPr>
      <w:bookmarkStart w:id="21" w:name="heading_21"/>
      <w:r>
        <w:rPr>
          <w:rFonts w:hint="eastAsia" w:ascii="楷体_GB2312" w:hAnsi="楷体_GB2312" w:eastAsia="楷体_GB2312" w:cs="楷体_GB2312"/>
          <w:b/>
          <w:bCs w:val="0"/>
          <w:sz w:val="32"/>
          <w:szCs w:val="32"/>
        </w:rPr>
        <w:t>（四）前瞻布局谋划，推进数字法治建设</w:t>
      </w:r>
      <w:bookmarkEnd w:id="21"/>
      <w:r>
        <w:rPr>
          <w:rFonts w:hint="eastAsia" w:ascii="楷体_GB2312" w:hAnsi="楷体_GB2312" w:eastAsia="楷体_GB2312" w:cs="楷体_GB2312"/>
          <w:b/>
          <w:bCs w:val="0"/>
          <w:sz w:val="32"/>
          <w:szCs w:val="32"/>
          <w:lang w:eastAsia="zh-CN"/>
        </w:rPr>
        <w:t>。</w:t>
      </w:r>
      <w:r>
        <w:rPr>
          <w:rFonts w:hint="eastAsia" w:ascii="仿宋_GB2312" w:hAnsi="仿宋_GB2312" w:eastAsia="仿宋_GB2312" w:cs="仿宋_GB2312"/>
          <w:sz w:val="32"/>
          <w:szCs w:val="32"/>
        </w:rPr>
        <w:t>探索“智慧法治社区”试点，以法治规范保障数字治理长效发展，推动数字治理与法治建设深度融合，依法规范公共数据使用、安全管理和隐私保护</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提升镇域治理法治化、智能化水平，以高水平法治保障参内经济社会高质量发展。</w:t>
      </w:r>
    </w:p>
    <w:p w14:paraId="1A1DE800">
      <w:pPr>
        <w:keepNext w:val="0"/>
        <w:keepLines w:val="0"/>
        <w:pageBreakBefore w:val="0"/>
        <w:widowControl w:val="0"/>
        <w:kinsoku/>
        <w:wordWrap/>
        <w:overflowPunct/>
        <w:topLinePunct w:val="0"/>
        <w:autoSpaceDE/>
        <w:autoSpaceDN/>
        <w:bidi w:val="0"/>
        <w:adjustRightInd/>
        <w:snapToGrid/>
        <w:spacing w:line="544" w:lineRule="exact"/>
        <w:ind w:left="0"/>
        <w:jc w:val="left"/>
        <w:textAlignment w:val="auto"/>
        <w:rPr>
          <w:rFonts w:hint="eastAsia" w:ascii="仿宋_GB2312" w:hAnsi="仿宋_GB2312" w:eastAsia="仿宋_GB2312" w:cs="仿宋_GB2312"/>
          <w:sz w:val="32"/>
          <w:szCs w:val="32"/>
        </w:rPr>
      </w:pPr>
    </w:p>
    <w:p w14:paraId="5B797C81">
      <w:pPr>
        <w:keepNext w:val="0"/>
        <w:keepLines w:val="0"/>
        <w:pageBreakBefore w:val="0"/>
        <w:widowControl w:val="0"/>
        <w:kinsoku/>
        <w:wordWrap/>
        <w:overflowPunct/>
        <w:topLinePunct w:val="0"/>
        <w:autoSpaceDE/>
        <w:autoSpaceDN/>
        <w:bidi w:val="0"/>
        <w:adjustRightInd/>
        <w:snapToGrid/>
        <w:spacing w:line="544" w:lineRule="exact"/>
        <w:ind w:left="0" w:leftChars="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中共安溪县参内镇委员会    安溪县参内镇人民政府</w:t>
      </w:r>
    </w:p>
    <w:p w14:paraId="0BE3F0B3">
      <w:pPr>
        <w:keepNext w:val="0"/>
        <w:keepLines w:val="0"/>
        <w:pageBreakBefore w:val="0"/>
        <w:widowControl w:val="0"/>
        <w:kinsoku/>
        <w:wordWrap/>
        <w:overflowPunct/>
        <w:topLinePunct w:val="0"/>
        <w:autoSpaceDE/>
        <w:autoSpaceDN/>
        <w:bidi w:val="0"/>
        <w:adjustRightInd/>
        <w:snapToGrid/>
        <w:spacing w:line="544" w:lineRule="exact"/>
        <w:ind w:left="0" w:leftChars="0" w:firstLine="5040" w:firstLineChars="1575"/>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2026年</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日</w:t>
      </w:r>
      <w:bookmarkStart w:id="22" w:name="_GoBack"/>
      <w:bookmarkEnd w:id="22"/>
    </w:p>
    <w:p w14:paraId="41B6D202">
      <w:pPr>
        <w:keepNext w:val="0"/>
        <w:keepLines w:val="0"/>
        <w:pageBreakBefore w:val="0"/>
        <w:widowControl w:val="0"/>
        <w:kinsoku/>
        <w:wordWrap/>
        <w:overflowPunct/>
        <w:topLinePunct w:val="0"/>
        <w:autoSpaceDE/>
        <w:autoSpaceDN/>
        <w:bidi w:val="0"/>
        <w:adjustRightInd/>
        <w:snapToGrid/>
        <w:spacing w:line="544" w:lineRule="exact"/>
        <w:ind w:left="0" w:leftChars="0" w:firstLine="5040" w:firstLineChars="1575"/>
        <w:jc w:val="left"/>
        <w:textAlignment w:val="auto"/>
        <w:rPr>
          <w:rFonts w:hint="eastAsia" w:ascii="仿宋_GB2312" w:hAnsi="仿宋_GB2312" w:eastAsia="仿宋_GB2312" w:cs="仿宋_GB2312"/>
          <w:sz w:val="32"/>
          <w:szCs w:val="32"/>
        </w:rPr>
      </w:pPr>
    </w:p>
    <w:p w14:paraId="5EAD6425">
      <w:pPr>
        <w:keepNext w:val="0"/>
        <w:keepLines w:val="0"/>
        <w:pageBreakBefore w:val="0"/>
        <w:widowControl w:val="0"/>
        <w:kinsoku/>
        <w:wordWrap/>
        <w:overflowPunct/>
        <w:topLinePunct w:val="0"/>
        <w:autoSpaceDE/>
        <w:autoSpaceDN/>
        <w:bidi w:val="0"/>
        <w:adjustRightInd/>
        <w:snapToGrid/>
        <w:spacing w:line="544" w:lineRule="exact"/>
        <w:ind w:left="0" w:leftChars="0" w:firstLine="5040" w:firstLineChars="1575"/>
        <w:jc w:val="left"/>
        <w:textAlignment w:val="auto"/>
        <w:rPr>
          <w:rFonts w:hint="eastAsia" w:ascii="仿宋_GB2312" w:hAnsi="仿宋_GB2312" w:eastAsia="仿宋_GB2312" w:cs="仿宋_GB2312"/>
          <w:sz w:val="32"/>
          <w:szCs w:val="32"/>
        </w:rPr>
      </w:pPr>
    </w:p>
    <w:sectPr>
      <w:footerReference r:id="rId3" w:type="default"/>
      <w:pgSz w:w="11905" w:h="16840"/>
      <w:pgMar w:top="1928" w:right="1531" w:bottom="1871" w:left="1531" w:header="850" w:footer="992" w:gutter="0"/>
      <w:pgNumType w:fmt="numberInDash"/>
      <w:cols w:space="0" w:num="1"/>
      <w:rtlGutter w:val="0"/>
      <w:docGrid w:linePitch="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auto"/>
    <w:pitch w:val="default"/>
    <w:sig w:usb0="00000001" w:usb1="080E0000" w:usb2="00000000" w:usb3="00000000" w:csb0="00040000" w:csb1="00000000"/>
  </w:font>
  <w:font w:name="方正粗黑宋简体">
    <w:panose1 w:val="02000000000000000000"/>
    <w:charset w:val="86"/>
    <w:family w:val="auto"/>
    <w:pitch w:val="default"/>
    <w:sig w:usb0="A00002BF" w:usb1="184F6CFA" w:usb2="00000012" w:usb3="00000000" w:csb0="00040001" w:csb1="00000000"/>
  </w:font>
  <w:font w:name="楷体_GB2312">
    <w:panose1 w:val="02010609030101010101"/>
    <w:charset w:val="86"/>
    <w:family w:val="roman"/>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998B1A9">
    <w:r>
      <w:rPr>
        <w:sz w:val="21"/>
      </w:rPr>
      <w:pict>
        <v:shape id="_x0000_s4097" o:spid="_x0000_s4097" o:spt="202" type="#_x0000_t202" style="position:absolute;left:0pt;margin-top:0pt;height:144pt;width:144pt;mso-position-horizontal:center;mso-position-horizontal-relative:margin;mso-wrap-style:none;z-index:251659264;mso-width-relative:page;mso-height-relative:page;" filled="f" stroked="f" coordsize="21600,21600">
          <v:path/>
          <v:fill on="f" focussize="0,0"/>
          <v:stroke on="f"/>
          <v:imagedata o:title=""/>
          <o:lock v:ext="edit" aspectratio="f"/>
          <v:textbox inset="0mm,0mm,0mm,0mm" style="mso-fit-shape-to-text:t;">
            <w:txbxContent>
              <w:p w14:paraId="3C26B0EE">
                <w:pPr>
                  <w:pStyle w:val="2"/>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t>- 1 -</w:t>
                </w:r>
                <w:r>
                  <w:rPr>
                    <w:rFonts w:hint="eastAsia" w:ascii="宋体" w:hAnsi="宋体" w:eastAsia="宋体" w:cs="宋体"/>
                    <w:sz w:val="28"/>
                    <w:szCs w:val="28"/>
                  </w:rPr>
                  <w:fldChar w:fldCharType="end"/>
                </w:r>
              </w:p>
            </w:txbxContent>
          </v:textbox>
        </v:shape>
      </w:pic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3"/>
  <w:documentProtection w:enforcement="0"/>
  <w:hdrShapeDefaults>
    <o:shapelayout v:ext="edit">
      <o:idmap v:ext="edit" data="3,4"/>
    </o:shapelayout>
  </w:hdrShapeDefaults>
  <w:compat>
    <w:useFELayout/>
    <w:splitPgBreakAndParaMark/>
    <w:compatSetting w:name="compatibilityMode" w:uri="http://schemas.microsoft.com/office/word" w:val="12"/>
  </w:compat>
  <w:rsids>
    <w:rsidRoot w:val="00000000"/>
    <w:rsid w:val="125D04B6"/>
    <w:rsid w:val="1B21664B"/>
    <w:rsid w:val="1C0560F2"/>
    <w:rsid w:val="1D0653DE"/>
    <w:rsid w:val="200330FF"/>
    <w:rsid w:val="2B1D27E7"/>
    <w:rsid w:val="330025E3"/>
    <w:rsid w:val="36FD3537"/>
    <w:rsid w:val="3C696498"/>
    <w:rsid w:val="557F9481"/>
    <w:rsid w:val="569715CC"/>
    <w:rsid w:val="623479D6"/>
    <w:rsid w:val="74591458"/>
    <w:rsid w:val="771B4AC2"/>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sz w:val="21"/>
      <w:szCs w:val="22"/>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4097"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8</Pages>
  <Words>4204</Words>
  <Characters>4271</Characters>
  <Lines>0</Lines>
  <Paragraphs>0</Paragraphs>
  <TotalTime>10</TotalTime>
  <ScaleCrop>false</ScaleCrop>
  <LinksUpToDate>false</LinksUpToDate>
  <CharactersWithSpaces>4294</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2026-04-01T10:43:00Z</dcterms:created>
  <dc:creator>Apache POI</dc:creator>
  <cp:lastModifiedBy>疯铃</cp:lastModifiedBy>
  <cp:lastPrinted>2026-04-02T07:47:00Z</cp:lastPrinted>
  <dcterms:modified xsi:type="dcterms:W3CDTF">2026-04-07T02:13:24Z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CA63E0169325B3816E86CC698D2E7C2B</vt:lpwstr>
  </property>
  <property fmtid="{D5CDD505-2E9C-101B-9397-08002B2CF9AE}" pid="4" name="KSOTemplateDocerSaveRecord">
    <vt:lpwstr>eyJoZGlkIjoiODlmYzkxNjY0YzBmYzY4Njk4NjcxOGRhZTg4YjAzNTYiLCJ1c2VySWQiOiI1NDI3MjkyNjMifQ==</vt:lpwstr>
  </property>
</Properties>
</file>