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420" w:firstLineChars="0"/>
        <w:jc w:val="center"/>
        <w:rPr>
          <w:rFonts w:ascii="方正小标宋简体" w:hAnsi="方正小标宋简体" w:eastAsia="方正小标宋简体" w:cs="Times New Roman"/>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安溪县</w:t>
      </w:r>
      <w:r>
        <w:rPr>
          <w:rFonts w:hint="eastAsia" w:ascii="方正小标宋简体" w:hAnsi="方正小标宋简体" w:eastAsia="方正小标宋简体" w:cs="方正小标宋简体"/>
          <w:color w:val="000000"/>
          <w:kern w:val="0"/>
          <w:sz w:val="44"/>
          <w:szCs w:val="44"/>
          <w:shd w:val="clear" w:color="auto" w:fill="FFFFFF"/>
          <w:lang w:val="en-US" w:eastAsia="zh-CN"/>
        </w:rPr>
        <w:t>凤城镇人民政府</w:t>
      </w:r>
      <w:r>
        <w:rPr>
          <w:rFonts w:ascii="方正小标宋简体" w:hAnsi="方正小标宋简体" w:eastAsia="方正小标宋简体" w:cs="方正小标宋简体"/>
          <w:color w:val="000000"/>
          <w:kern w:val="0"/>
          <w:sz w:val="44"/>
          <w:szCs w:val="44"/>
          <w:shd w:val="clear" w:color="auto" w:fill="FFFFFF"/>
        </w:rPr>
        <w:t>202</w:t>
      </w:r>
      <w:r>
        <w:rPr>
          <w:rFonts w:hint="eastAsia" w:ascii="方正小标宋简体" w:hAnsi="方正小标宋简体" w:eastAsia="方正小标宋简体" w:cs="方正小标宋简体"/>
          <w:color w:val="000000"/>
          <w:kern w:val="0"/>
          <w:sz w:val="44"/>
          <w:szCs w:val="44"/>
          <w:shd w:val="clear" w:color="auto" w:fill="FFFFFF"/>
          <w:lang w:val="en-US" w:eastAsia="zh-CN"/>
        </w:rPr>
        <w:t>5</w:t>
      </w:r>
      <w:r>
        <w:rPr>
          <w:rFonts w:hint="eastAsia" w:ascii="方正小标宋简体" w:hAnsi="方正小标宋简体" w:eastAsia="方正小标宋简体" w:cs="方正小标宋简体"/>
          <w:color w:val="000000"/>
          <w:kern w:val="0"/>
          <w:sz w:val="44"/>
          <w:szCs w:val="44"/>
          <w:shd w:val="clear" w:color="auto" w:fill="FFFFFF"/>
        </w:rPr>
        <w:t>年</w:t>
      </w:r>
    </w:p>
    <w:p>
      <w:pPr>
        <w:widowControl/>
        <w:spacing w:line="600" w:lineRule="exact"/>
        <w:jc w:val="center"/>
        <w:rPr>
          <w:rFonts w:ascii="方正小标宋简体" w:hAnsi="方正小标宋简体" w:eastAsia="方正小标宋简体" w:cs="Times New Roman"/>
          <w:color w:val="000000"/>
          <w:kern w:val="0"/>
          <w:sz w:val="44"/>
          <w:szCs w:val="44"/>
          <w:shd w:val="clear" w:color="auto" w:fill="FFFFFF"/>
        </w:rPr>
      </w:pPr>
      <w:r>
        <w:rPr>
          <w:rFonts w:hint="eastAsia" w:ascii="方正小标宋简体" w:hAnsi="方正小标宋简体" w:eastAsia="方正小标宋简体" w:cs="方正小标宋简体"/>
          <w:color w:val="000000"/>
          <w:kern w:val="0"/>
          <w:sz w:val="44"/>
          <w:szCs w:val="44"/>
          <w:shd w:val="clear" w:color="auto" w:fill="FFFFFF"/>
        </w:rPr>
        <w:t>政府信息公开工作年度报告</w:t>
      </w:r>
    </w:p>
    <w:p>
      <w:pPr>
        <w:widowControl/>
        <w:jc w:val="left"/>
        <w:rPr>
          <w:rFonts w:ascii="宋体" w:cs="Times New Roman"/>
          <w:color w:val="000000"/>
          <w:kern w:val="0"/>
          <w:sz w:val="24"/>
          <w:szCs w:val="24"/>
          <w:shd w:val="clear" w:color="auto" w:fill="FFFFFF"/>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宋体" w:eastAsia="黑体" w:cs="黑体"/>
          <w:color w:val="000000"/>
          <w:kern w:val="0"/>
          <w:sz w:val="32"/>
          <w:szCs w:val="32"/>
        </w:rPr>
      </w:pPr>
      <w:r>
        <w:rPr>
          <w:rFonts w:hint="eastAsia" w:ascii="仿宋_GB2312" w:hAnsi="宋体" w:eastAsia="仿宋_GB2312" w:cs="仿宋_GB2312"/>
          <w:color w:val="000000"/>
          <w:kern w:val="0"/>
          <w:sz w:val="32"/>
          <w:szCs w:val="32"/>
          <w:lang w:val="en-US" w:eastAsia="zh-CN"/>
        </w:rPr>
        <w:t>根据《中华人民共和国政府信息公开条例》（国务院令第711号）等要求，特编制并向社会公布安溪县凤城镇人民政府2025年政府信息公开工作年度报告。本报告由总体情况，主动公开政府信息的情况，收到和处理政府信息公开申请情况，政府信息公开行政复议、行政诉讼情况，存在的主要问题及改进情况，其他需要报告的事项等六部分组成。本年报中所列数据的统计期限自2025年1月1日起至2025年12月31日止。本年报电子版可在“凤城镇人民政府政务门户网站”（http://www.fjax.gov.cn/zwgk/zfxxgkzl/xzzfxxgk/fcz/）下载。如对本年报有疑问，请与凤城镇人民政府联系（地址：凤城镇新华路394号，邮编：362400，电话：23232023，电子邮箱：</w:t>
      </w:r>
      <w:r>
        <w:rPr>
          <w:rFonts w:hint="eastAsia" w:ascii="仿宋_GB2312" w:hAnsi="宋体" w:eastAsia="仿宋_GB2312" w:cs="仿宋_GB2312"/>
          <w:color w:val="000000"/>
          <w:kern w:val="0"/>
          <w:sz w:val="32"/>
          <w:szCs w:val="32"/>
          <w:lang w:val="en-US" w:eastAsia="zh-CN"/>
        </w:rPr>
        <w:fldChar w:fldCharType="begin"/>
      </w:r>
      <w:r>
        <w:rPr>
          <w:rFonts w:hint="eastAsia" w:ascii="仿宋_GB2312" w:hAnsi="宋体" w:eastAsia="仿宋_GB2312" w:cs="仿宋_GB2312"/>
          <w:color w:val="000000"/>
          <w:kern w:val="0"/>
          <w:sz w:val="32"/>
          <w:szCs w:val="32"/>
          <w:lang w:val="en-US" w:eastAsia="zh-CN"/>
        </w:rPr>
        <w:instrText xml:space="preserve"> HYPERLINK "mailto:fcz23260900@136.com" </w:instrText>
      </w:r>
      <w:r>
        <w:rPr>
          <w:rFonts w:hint="eastAsia" w:ascii="仿宋_GB2312" w:hAnsi="宋体" w:eastAsia="仿宋_GB2312" w:cs="仿宋_GB2312"/>
          <w:color w:val="000000"/>
          <w:kern w:val="0"/>
          <w:sz w:val="32"/>
          <w:szCs w:val="32"/>
          <w:lang w:val="en-US" w:eastAsia="zh-CN"/>
        </w:rPr>
        <w:fldChar w:fldCharType="separate"/>
      </w:r>
      <w:r>
        <w:rPr>
          <w:rFonts w:hint="eastAsia" w:ascii="仿宋_GB2312" w:hAnsi="宋体" w:eastAsia="仿宋_GB2312" w:cs="仿宋_GB2312"/>
          <w:color w:val="000000"/>
          <w:kern w:val="0"/>
          <w:sz w:val="32"/>
          <w:szCs w:val="32"/>
          <w:lang w:val="en-US" w:eastAsia="zh-CN"/>
        </w:rPr>
        <w:t>fcz23260900@163.com</w:t>
      </w:r>
      <w:r>
        <w:rPr>
          <w:rFonts w:hint="eastAsia" w:ascii="仿宋_GB2312" w:hAnsi="宋体" w:eastAsia="仿宋_GB2312" w:cs="仿宋_GB2312"/>
          <w:color w:val="000000"/>
          <w:kern w:val="0"/>
          <w:sz w:val="32"/>
          <w:szCs w:val="32"/>
          <w:lang w:val="en-US" w:eastAsia="zh-CN"/>
        </w:rPr>
        <w:fldChar w:fldCharType="end"/>
      </w:r>
    </w:p>
    <w:p>
      <w:pPr>
        <w:widowControl/>
        <w:spacing w:line="560" w:lineRule="exact"/>
        <w:ind w:firstLine="640"/>
        <w:jc w:val="left"/>
        <w:rPr>
          <w:rFonts w:ascii="宋体" w:cs="Times New Roman"/>
          <w:color w:val="000000"/>
          <w:sz w:val="24"/>
          <w:szCs w:val="24"/>
        </w:rPr>
      </w:pPr>
      <w:r>
        <w:rPr>
          <w:rFonts w:hint="eastAsia" w:ascii="黑体" w:hAnsi="宋体" w:eastAsia="黑体" w:cs="黑体"/>
          <w:color w:val="000000"/>
          <w:kern w:val="0"/>
          <w:sz w:val="32"/>
          <w:szCs w:val="32"/>
        </w:rPr>
        <w:t>一、总体情况</w:t>
      </w:r>
    </w:p>
    <w:p>
      <w:pPr>
        <w:widowControl/>
        <w:spacing w:line="560" w:lineRule="exact"/>
        <w:ind w:firstLine="640" w:firstLineChars="0"/>
        <w:jc w:val="left"/>
        <w:rPr>
          <w:rFonts w:hint="eastAsia" w:ascii="楷体_GB2312" w:hAnsi="宋体" w:eastAsia="楷体_GB2312" w:cs="楷体_GB2312"/>
          <w:b/>
          <w:bCs/>
          <w:color w:val="000000"/>
          <w:kern w:val="0"/>
          <w:sz w:val="32"/>
          <w:szCs w:val="32"/>
          <w:lang w:val="en-US" w:eastAsia="zh-CN"/>
        </w:rPr>
      </w:pPr>
      <w:r>
        <w:rPr>
          <w:rFonts w:hint="default" w:ascii="仿宋_GB2312" w:hAnsi="宋体" w:eastAsia="仿宋_GB2312" w:cs="仿宋_GB2312"/>
          <w:color w:val="000000"/>
          <w:kern w:val="0"/>
          <w:sz w:val="32"/>
          <w:szCs w:val="32"/>
        </w:rPr>
        <w:t>2025年，凤城镇人民政府以习近平新时代中国特色社会主义思想为指导，深入贯彻落实党的二十大和二十届历次全会精神，围绕县委、县政府高质量发展目标，持续深化政务公开工作。通过优化公开机制、强化平台建设，</w:t>
      </w:r>
      <w:r>
        <w:rPr>
          <w:rFonts w:hint="eastAsia" w:ascii="仿宋_GB2312" w:hAnsi="宋体" w:eastAsia="仿宋_GB2312" w:cs="仿宋_GB2312"/>
          <w:color w:val="000000"/>
          <w:kern w:val="0"/>
          <w:sz w:val="32"/>
          <w:szCs w:val="32"/>
          <w:lang w:eastAsia="zh-CN"/>
        </w:rPr>
        <w:t>以提升</w:t>
      </w:r>
      <w:r>
        <w:rPr>
          <w:rFonts w:hint="default" w:ascii="仿宋_GB2312" w:hAnsi="宋体" w:eastAsia="仿宋_GB2312" w:cs="仿宋_GB2312"/>
          <w:color w:val="000000"/>
          <w:kern w:val="0"/>
          <w:sz w:val="32"/>
          <w:szCs w:val="32"/>
        </w:rPr>
        <w:t>政府信息公开的透明度、便民性和实效性</w:t>
      </w:r>
      <w:r>
        <w:rPr>
          <w:rFonts w:hint="eastAsia" w:ascii="仿宋_GB2312" w:hAnsi="宋体" w:eastAsia="仿宋_GB2312" w:cs="仿宋_GB2312"/>
          <w:color w:val="000000"/>
          <w:kern w:val="0"/>
          <w:sz w:val="32"/>
          <w:szCs w:val="32"/>
          <w:lang w:eastAsia="zh-CN"/>
        </w:rPr>
        <w:t>。</w:t>
      </w:r>
    </w:p>
    <w:p>
      <w:pPr>
        <w:keepNext w:val="0"/>
        <w:keepLines w:val="0"/>
        <w:widowControl/>
        <w:suppressLineNumbers w:val="0"/>
        <w:ind w:firstLine="642" w:firstLineChars="200"/>
        <w:jc w:val="left"/>
        <w:rPr>
          <w:rFonts w:hint="eastAsia" w:ascii="楷体_GB2312" w:hAnsi="楷体_GB2312" w:eastAsia="楷体_GB2312" w:cs="楷体_GB2312"/>
          <w:b/>
          <w:bCs/>
          <w:i w:val="0"/>
          <w:iCs w:val="0"/>
          <w:caps w:val="0"/>
          <w:color w:val="000000"/>
          <w:spacing w:val="0"/>
          <w:kern w:val="0"/>
          <w:sz w:val="32"/>
          <w:szCs w:val="32"/>
          <w:lang w:val="en-US" w:eastAsia="zh-CN" w:bidi="ar"/>
        </w:rPr>
      </w:pPr>
      <w:r>
        <w:rPr>
          <w:rFonts w:hint="eastAsia" w:ascii="楷体_GB2312" w:hAnsi="楷体_GB2312" w:eastAsia="楷体_GB2312" w:cs="楷体_GB2312"/>
          <w:b/>
          <w:bCs/>
          <w:i w:val="0"/>
          <w:iCs w:val="0"/>
          <w:caps w:val="0"/>
          <w:color w:val="000000"/>
          <w:spacing w:val="0"/>
          <w:kern w:val="0"/>
          <w:sz w:val="32"/>
          <w:szCs w:val="32"/>
          <w:lang w:val="en-US" w:eastAsia="zh-CN" w:bidi="ar"/>
        </w:rPr>
        <w:t>1.主动公开。</w:t>
      </w:r>
      <w:r>
        <w:rPr>
          <w:rFonts w:hint="default" w:ascii="仿宋_GB2312" w:hAnsi="宋体" w:eastAsia="仿宋_GB2312" w:cs="仿宋_GB2312"/>
          <w:color w:val="000000"/>
          <w:kern w:val="0"/>
          <w:sz w:val="32"/>
          <w:szCs w:val="32"/>
          <w:lang w:val="en-US" w:eastAsia="zh-CN"/>
        </w:rPr>
        <w:t>2025年，</w:t>
      </w:r>
      <w:r>
        <w:rPr>
          <w:rFonts w:hint="eastAsia" w:ascii="仿宋_GB2312" w:hAnsi="宋体" w:eastAsia="仿宋_GB2312" w:cs="仿宋_GB2312"/>
          <w:color w:val="000000"/>
          <w:kern w:val="0"/>
          <w:sz w:val="32"/>
          <w:szCs w:val="32"/>
          <w:lang w:val="en-US" w:eastAsia="zh-CN"/>
        </w:rPr>
        <w:t>凤城</w:t>
      </w:r>
      <w:r>
        <w:rPr>
          <w:rFonts w:hint="default" w:ascii="仿宋_GB2312" w:hAnsi="宋体" w:eastAsia="仿宋_GB2312" w:cs="仿宋_GB2312"/>
          <w:color w:val="000000"/>
          <w:kern w:val="0"/>
          <w:sz w:val="32"/>
          <w:szCs w:val="32"/>
          <w:lang w:val="en-US" w:eastAsia="zh-CN"/>
        </w:rPr>
        <w:t>镇人民政府</w:t>
      </w:r>
      <w:r>
        <w:rPr>
          <w:rFonts w:hint="eastAsia" w:ascii="仿宋_GB2312" w:hAnsi="宋体" w:eastAsia="仿宋_GB2312" w:cs="仿宋_GB2312"/>
          <w:color w:val="000000"/>
          <w:kern w:val="0"/>
          <w:sz w:val="32"/>
          <w:szCs w:val="32"/>
          <w:lang w:val="en-US" w:eastAsia="zh-CN"/>
        </w:rPr>
        <w:t>严格按照法定公开范围和时限，明确专人负责并主动公开政府信息7条，</w:t>
      </w:r>
      <w:r>
        <w:rPr>
          <w:rFonts w:hint="default" w:ascii="仿宋_GB2312" w:hAnsi="宋体" w:eastAsia="仿宋_GB2312" w:cs="仿宋_GB2312"/>
          <w:color w:val="000000"/>
          <w:kern w:val="0"/>
          <w:sz w:val="32"/>
          <w:szCs w:val="32"/>
          <w:lang w:val="en-US" w:eastAsia="zh-CN"/>
        </w:rPr>
        <w:t>广泛地将政府工作动态与政策信息传递至广大民众之中，促进了双方良性互动与信任共建。</w:t>
      </w:r>
    </w:p>
    <w:p>
      <w:pPr>
        <w:keepNext w:val="0"/>
        <w:keepLines w:val="0"/>
        <w:widowControl/>
        <w:suppressLineNumbers w:val="0"/>
        <w:ind w:firstLine="642" w:firstLineChars="200"/>
        <w:jc w:val="left"/>
        <w:rPr>
          <w:rFonts w:hint="eastAsia" w:ascii="楷体_GB2312" w:hAnsi="楷体_GB2312" w:eastAsia="楷体_GB2312" w:cs="楷体_GB2312"/>
          <w:b/>
          <w:bCs/>
          <w:i w:val="0"/>
          <w:iCs w:val="0"/>
          <w:caps w:val="0"/>
          <w:color w:val="000000"/>
          <w:spacing w:val="0"/>
          <w:kern w:val="0"/>
          <w:sz w:val="32"/>
          <w:szCs w:val="32"/>
          <w:lang w:val="en-US" w:eastAsia="zh-CN" w:bidi="ar"/>
        </w:rPr>
      </w:pPr>
      <w:r>
        <w:rPr>
          <w:rFonts w:hint="eastAsia" w:ascii="楷体_GB2312" w:hAnsi="楷体_GB2312" w:eastAsia="楷体_GB2312" w:cs="楷体_GB2312"/>
          <w:b/>
          <w:bCs/>
          <w:i w:val="0"/>
          <w:iCs w:val="0"/>
          <w:caps w:val="0"/>
          <w:color w:val="000000"/>
          <w:spacing w:val="0"/>
          <w:kern w:val="0"/>
          <w:sz w:val="32"/>
          <w:szCs w:val="32"/>
          <w:lang w:val="en-US" w:eastAsia="zh-CN" w:bidi="ar"/>
        </w:rPr>
        <w:t>2.依申请公开。</w:t>
      </w:r>
      <w:r>
        <w:rPr>
          <w:rFonts w:hint="default" w:ascii="仿宋_GB2312" w:hAnsi="宋体" w:eastAsia="仿宋_GB2312" w:cs="仿宋_GB2312"/>
          <w:color w:val="000000"/>
          <w:kern w:val="0"/>
          <w:sz w:val="32"/>
          <w:szCs w:val="32"/>
          <w:lang w:val="en-US" w:eastAsia="zh-CN"/>
        </w:rPr>
        <w:t>严格遵循相关法律法规及工作程序，建立健全政府信息公开申请登记等各项</w:t>
      </w:r>
      <w:r>
        <w:rPr>
          <w:rFonts w:hint="eastAsia" w:ascii="仿宋_GB2312" w:hAnsi="宋体" w:eastAsia="仿宋_GB2312" w:cs="仿宋_GB2312"/>
          <w:color w:val="000000"/>
          <w:kern w:val="0"/>
          <w:sz w:val="32"/>
          <w:szCs w:val="32"/>
          <w:lang w:val="en-US" w:eastAsia="zh-CN"/>
        </w:rPr>
        <w:t>内部</w:t>
      </w:r>
      <w:r>
        <w:rPr>
          <w:rFonts w:hint="default" w:ascii="仿宋_GB2312" w:hAnsi="宋体" w:eastAsia="仿宋_GB2312" w:cs="仿宋_GB2312"/>
          <w:color w:val="000000"/>
          <w:kern w:val="0"/>
          <w:sz w:val="32"/>
          <w:szCs w:val="32"/>
          <w:lang w:val="en-US" w:eastAsia="zh-CN"/>
        </w:rPr>
        <w:t>工作制度，确保依申请公开工作全程规范有序。本年度未收到依申请公开事项。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ind w:right="0" w:firstLine="642" w:firstLineChars="200"/>
        <w:jc w:val="left"/>
        <w:rPr>
          <w:rFonts w:hint="eastAsia" w:ascii="楷体_GB2312" w:hAnsi="楷体_GB2312" w:eastAsia="楷体_GB2312" w:cs="楷体_GB2312"/>
          <w:b/>
          <w:bCs/>
          <w:i w:val="0"/>
          <w:iCs w:val="0"/>
          <w:caps w:val="0"/>
          <w:color w:val="000000"/>
          <w:spacing w:val="0"/>
          <w:kern w:val="0"/>
          <w:sz w:val="32"/>
          <w:szCs w:val="32"/>
          <w:lang w:val="en-US" w:eastAsia="zh-CN" w:bidi="ar"/>
        </w:rPr>
      </w:pPr>
      <w:r>
        <w:rPr>
          <w:rFonts w:hint="eastAsia" w:ascii="楷体_GB2312" w:hAnsi="楷体_GB2312" w:eastAsia="楷体_GB2312" w:cs="楷体_GB2312"/>
          <w:b/>
          <w:bCs/>
          <w:i w:val="0"/>
          <w:iCs w:val="0"/>
          <w:caps w:val="0"/>
          <w:color w:val="000000"/>
          <w:spacing w:val="0"/>
          <w:kern w:val="0"/>
          <w:sz w:val="32"/>
          <w:szCs w:val="32"/>
          <w:lang w:val="en-US" w:eastAsia="zh-CN" w:bidi="ar"/>
        </w:rPr>
        <w:t>3.政府信息管理。</w:t>
      </w:r>
      <w:r>
        <w:rPr>
          <w:rFonts w:hint="default" w:ascii="仿宋_GB2312" w:hAnsi="宋体" w:eastAsia="仿宋_GB2312" w:cs="仿宋_GB2312"/>
          <w:color w:val="000000"/>
          <w:kern w:val="0"/>
          <w:sz w:val="32"/>
          <w:szCs w:val="32"/>
          <w:lang w:val="en-US" w:eastAsia="zh-CN" w:bidi="ar-SA"/>
        </w:rPr>
        <w:t>明确落实责任，进一步规范政府信息发布流程，加强信息发布前审查，强化网站信息安全管理，并根据工作实际及时进行动态更新调整，确保政府信息能够及时、准确对外公开。</w:t>
      </w:r>
    </w:p>
    <w:p>
      <w:pPr>
        <w:keepNext w:val="0"/>
        <w:keepLines w:val="0"/>
        <w:widowControl/>
        <w:suppressLineNumbers w:val="0"/>
        <w:ind w:firstLine="642" w:firstLineChars="200"/>
        <w:jc w:val="left"/>
        <w:rPr>
          <w:rFonts w:hint="eastAsia" w:ascii="楷体_GB2312" w:hAnsi="楷体_GB2312" w:eastAsia="楷体_GB2312" w:cs="楷体_GB2312"/>
          <w:b/>
          <w:bCs/>
          <w:i w:val="0"/>
          <w:iCs w:val="0"/>
          <w:caps w:val="0"/>
          <w:color w:val="000000"/>
          <w:spacing w:val="0"/>
          <w:kern w:val="0"/>
          <w:sz w:val="32"/>
          <w:szCs w:val="32"/>
          <w:lang w:val="en-US" w:eastAsia="zh-CN" w:bidi="ar"/>
        </w:rPr>
      </w:pPr>
      <w:r>
        <w:rPr>
          <w:rFonts w:hint="eastAsia" w:ascii="楷体_GB2312" w:hAnsi="楷体_GB2312" w:eastAsia="楷体_GB2312" w:cs="楷体_GB2312"/>
          <w:b/>
          <w:bCs/>
          <w:i w:val="0"/>
          <w:iCs w:val="0"/>
          <w:caps w:val="0"/>
          <w:color w:val="000000"/>
          <w:spacing w:val="0"/>
          <w:kern w:val="0"/>
          <w:sz w:val="32"/>
          <w:szCs w:val="32"/>
          <w:lang w:val="en-US" w:eastAsia="zh-CN" w:bidi="ar"/>
        </w:rPr>
        <w:t>4.政府信息公开平台建设。</w:t>
      </w:r>
      <w:r>
        <w:rPr>
          <w:rFonts w:hint="default" w:ascii="仿宋_GB2312" w:hAnsi="宋体" w:eastAsia="仿宋_GB2312" w:cs="仿宋_GB2312"/>
          <w:color w:val="000000"/>
          <w:kern w:val="0"/>
          <w:sz w:val="32"/>
          <w:szCs w:val="32"/>
          <w:lang w:val="en-US" w:eastAsia="zh-CN" w:bidi="ar-SA"/>
        </w:rPr>
        <w:t>根据相关政策文件，及时调整网站栏目情况，更新政府信息，确保门户网站建设与时俱进。加强网站平台运维监管，夯实政务公开基础，提高群众获取信息便捷度。</w:t>
      </w:r>
    </w:p>
    <w:p>
      <w:pPr>
        <w:keepNext w:val="0"/>
        <w:keepLines w:val="0"/>
        <w:widowControl/>
        <w:suppressLineNumbers w:val="0"/>
        <w:ind w:firstLine="642" w:firstLineChars="200"/>
        <w:jc w:val="left"/>
        <w:rPr>
          <w:rFonts w:hint="eastAsia" w:ascii="黑体" w:hAnsi="宋体" w:eastAsia="黑体" w:cs="黑体"/>
          <w:color w:val="000000"/>
          <w:kern w:val="0"/>
          <w:sz w:val="32"/>
          <w:szCs w:val="32"/>
        </w:rPr>
      </w:pPr>
      <w:r>
        <w:rPr>
          <w:rFonts w:hint="eastAsia" w:ascii="楷体_GB2312" w:hAnsi="楷体_GB2312" w:eastAsia="楷体_GB2312" w:cs="楷体_GB2312"/>
          <w:b/>
          <w:bCs/>
          <w:i w:val="0"/>
          <w:iCs w:val="0"/>
          <w:caps w:val="0"/>
          <w:color w:val="000000"/>
          <w:spacing w:val="0"/>
          <w:kern w:val="0"/>
          <w:sz w:val="32"/>
          <w:szCs w:val="32"/>
          <w:lang w:val="en-US" w:eastAsia="zh-CN" w:bidi="ar"/>
        </w:rPr>
        <w:t>5.监督保障。</w:t>
      </w:r>
      <w:r>
        <w:rPr>
          <w:rFonts w:hint="default" w:ascii="仿宋_GB2312" w:hAnsi="宋体" w:eastAsia="仿宋_GB2312" w:cs="仿宋_GB2312"/>
          <w:color w:val="000000"/>
          <w:kern w:val="0"/>
          <w:sz w:val="32"/>
          <w:szCs w:val="32"/>
          <w:lang w:val="en-US" w:eastAsia="zh-CN" w:bidi="ar-SA"/>
        </w:rPr>
        <w:t>建立健全监督保障机制，落实专人负责日常监管。规范公开程序，实现监督管理常态长效</w:t>
      </w:r>
      <w:r>
        <w:rPr>
          <w:rFonts w:hint="eastAsia" w:ascii="仿宋_GB2312" w:hAnsi="宋体" w:eastAsia="仿宋_GB2312" w:cs="仿宋_GB2312"/>
          <w:color w:val="000000"/>
          <w:kern w:val="0"/>
          <w:sz w:val="32"/>
          <w:szCs w:val="32"/>
          <w:lang w:val="en-US" w:eastAsia="zh-CN" w:bidi="ar-SA"/>
        </w:rPr>
        <w:t>。2025年，凤城镇人民政府信息公开工作积极主动接受社会评议，未发生相关责任人责任追究问题情况，未出现违反有关法律规定、造成不良影响或者严重后果的情况。</w:t>
      </w:r>
    </w:p>
    <w:p>
      <w:pPr>
        <w:widowControl/>
        <w:spacing w:line="560" w:lineRule="exact"/>
        <w:ind w:firstLine="640"/>
        <w:jc w:val="left"/>
        <w:rPr>
          <w:rFonts w:ascii="宋体" w:cs="Times New Roman"/>
          <w:color w:val="000000"/>
          <w:sz w:val="24"/>
          <w:szCs w:val="24"/>
        </w:rPr>
      </w:pPr>
      <w:r>
        <w:rPr>
          <w:rFonts w:hint="eastAsia" w:ascii="黑体" w:hAnsi="宋体" w:eastAsia="黑体" w:cs="黑体"/>
          <w:color w:val="000000"/>
          <w:kern w:val="0"/>
          <w:sz w:val="32"/>
          <w:szCs w:val="32"/>
        </w:rPr>
        <w:t>二、主动公开政府信息情况</w:t>
      </w:r>
    </w:p>
    <w:tbl>
      <w:tblPr>
        <w:tblStyle w:val="5"/>
        <w:tblpPr w:leftFromText="180" w:rightFromText="180" w:vertAnchor="text" w:horzAnchor="page" w:tblpX="1924" w:tblpY="169"/>
        <w:tblOverlap w:val="never"/>
        <w:tblW w:w="842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103"/>
        <w:gridCol w:w="2103"/>
        <w:gridCol w:w="2103"/>
        <w:gridCol w:w="211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single" w:color="auto" w:sz="6" w:space="0"/>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第二十条第（一）项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信息内容</w:t>
            </w:r>
          </w:p>
        </w:tc>
        <w:tc>
          <w:tcPr>
            <w:tcW w:w="2103"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本年</w:t>
            </w:r>
            <w:r>
              <w:rPr>
                <w:rFonts w:hint="eastAsia"/>
              </w:rPr>
              <w:t>制发件数</w:t>
            </w:r>
          </w:p>
        </w:tc>
        <w:tc>
          <w:tcPr>
            <w:tcW w:w="2103"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本年废止件数</w:t>
            </w:r>
          </w:p>
        </w:tc>
        <w:tc>
          <w:tcPr>
            <w:tcW w:w="2117"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现行有效件</w:t>
            </w:r>
            <w:r>
              <w:rPr>
                <w:rFonts w:hint="eastAsia"/>
              </w:rPr>
              <w:t>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color w:val="000000"/>
              </w:rPr>
              <w:t>规章</w:t>
            </w:r>
          </w:p>
        </w:tc>
        <w:tc>
          <w:tcPr>
            <w:tcW w:w="2103"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2103"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211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color w:val="000000"/>
              </w:rPr>
              <w:t>行政规范性文件</w:t>
            </w:r>
          </w:p>
        </w:tc>
        <w:tc>
          <w:tcPr>
            <w:tcW w:w="2103"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2103"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default" w:ascii="宋体" w:hAnsi="宋体" w:eastAsia="宋体" w:cs="宋体"/>
                <w:sz w:val="24"/>
                <w:lang w:val="en-US" w:eastAsia="zh-CN"/>
              </w:rPr>
            </w:pPr>
            <w:r>
              <w:rPr>
                <w:rFonts w:hint="eastAsia" w:ascii="宋体" w:hAnsi="宋体" w:cs="宋体"/>
                <w:sz w:val="24"/>
                <w:lang w:val="en-US" w:eastAsia="zh-CN"/>
              </w:rPr>
              <w:t>0</w:t>
            </w:r>
          </w:p>
        </w:tc>
        <w:tc>
          <w:tcPr>
            <w:tcW w:w="211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第二十条第（五）项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信息内容</w:t>
            </w:r>
          </w:p>
        </w:tc>
        <w:tc>
          <w:tcPr>
            <w:tcW w:w="6323" w:type="dxa"/>
            <w:gridSpan w:val="3"/>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本年处理决定数量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color w:val="000000"/>
              </w:rPr>
              <w:t>行政许可</w:t>
            </w:r>
          </w:p>
        </w:tc>
        <w:tc>
          <w:tcPr>
            <w:tcW w:w="6323" w:type="dxa"/>
            <w:gridSpan w:val="3"/>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第二十条第（六）项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信息内容</w:t>
            </w:r>
          </w:p>
        </w:tc>
        <w:tc>
          <w:tcPr>
            <w:tcW w:w="6323" w:type="dxa"/>
            <w:gridSpan w:val="3"/>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本年处理决定数量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color w:val="000000"/>
              </w:rPr>
              <w:t>行政处罚</w:t>
            </w:r>
          </w:p>
        </w:tc>
        <w:tc>
          <w:tcPr>
            <w:tcW w:w="6323" w:type="dxa"/>
            <w:gridSpan w:val="3"/>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color w:val="000000"/>
              </w:rPr>
              <w:t>行政强制</w:t>
            </w:r>
          </w:p>
        </w:tc>
        <w:tc>
          <w:tcPr>
            <w:tcW w:w="6323" w:type="dxa"/>
            <w:gridSpan w:val="3"/>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8426"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第二十条第（八）项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信息内容</w:t>
            </w:r>
          </w:p>
        </w:tc>
        <w:tc>
          <w:tcPr>
            <w:tcW w:w="6323" w:type="dxa"/>
            <w:gridSpan w:val="3"/>
            <w:tcBorders>
              <w:top w:val="nil"/>
              <w:left w:val="nil"/>
              <w:bottom w:val="single" w:color="auto" w:sz="6" w:space="0"/>
              <w:right w:val="single" w:color="000000"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本年收费金额（单位：万元）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45" w:hRule="atLeast"/>
        </w:trPr>
        <w:tc>
          <w:tcPr>
            <w:tcW w:w="2103" w:type="dxa"/>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color w:val="000000"/>
              </w:rPr>
              <w:t>行政事业性收费</w:t>
            </w:r>
          </w:p>
        </w:tc>
        <w:tc>
          <w:tcPr>
            <w:tcW w:w="6323" w:type="dxa"/>
            <w:gridSpan w:val="3"/>
            <w:tcBorders>
              <w:top w:val="nil"/>
              <w:left w:val="nil"/>
              <w:bottom w:val="single" w:color="auto" w:sz="6" w:space="0"/>
              <w:right w:val="single" w:color="000000"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top"/>
        <w:rPr>
          <w:rFonts w:hint="eastAsia" w:ascii="黑体" w:hAnsi="黑体" w:eastAsia="黑体" w:cs="黑体"/>
          <w:color w:val="000000"/>
          <w:kern w:val="2"/>
          <w:sz w:val="32"/>
          <w:szCs w:val="32"/>
          <w:shd w:val="clear" w:color="auto" w:fill="FFFFFF"/>
        </w:rPr>
      </w:pPr>
      <w:r>
        <w:rPr>
          <w:rFonts w:hint="eastAsia" w:ascii="黑体" w:hAnsi="黑体" w:eastAsia="黑体" w:cs="黑体"/>
          <w:color w:val="000000"/>
          <w:kern w:val="2"/>
          <w:sz w:val="32"/>
          <w:szCs w:val="32"/>
          <w:shd w:val="clear" w:color="auto" w:fill="FFFFFF"/>
        </w:rPr>
        <w:t>三、收到和处理政府信息公开申请情况</w:t>
      </w:r>
    </w:p>
    <w:tbl>
      <w:tblPr>
        <w:tblStyle w:val="5"/>
        <w:tblW w:w="856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600"/>
        <w:gridCol w:w="919"/>
        <w:gridCol w:w="2712"/>
        <w:gridCol w:w="337"/>
        <w:gridCol w:w="597"/>
        <w:gridCol w:w="597"/>
        <w:gridCol w:w="597"/>
        <w:gridCol w:w="598"/>
        <w:gridCol w:w="599"/>
        <w:gridCol w:w="100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231" w:type="dxa"/>
            <w:gridSpan w:val="3"/>
            <w:vMerge w:val="restart"/>
            <w:tcBorders>
              <w:top w:val="single" w:color="auto" w:sz="6" w:space="0"/>
              <w:left w:val="single" w:color="auto" w:sz="6" w:space="0"/>
              <w:bottom w:val="outset"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textAlignment w:val="top"/>
              <w:rPr>
                <w:rFonts w:hint="eastAsia"/>
              </w:rPr>
            </w:pPr>
            <w:r>
              <w:rPr>
                <w:rFonts w:hint="eastAsia"/>
              </w:rPr>
              <w:t>（本列数据的勾稽关系为：第一项加第二项之和，等于第三项加第四项之和）</w:t>
            </w:r>
          </w:p>
        </w:tc>
        <w:tc>
          <w:tcPr>
            <w:tcW w:w="4332" w:type="dxa"/>
            <w:gridSpan w:val="7"/>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rPr>
              <w:t>申请人情况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231" w:type="dxa"/>
            <w:gridSpan w:val="3"/>
            <w:vMerge w:val="continue"/>
            <w:tcBorders>
              <w:top w:val="single" w:color="auto" w:sz="6" w:space="0"/>
              <w:left w:val="single" w:color="auto" w:sz="6" w:space="0"/>
              <w:bottom w:val="outset" w:color="auto" w:sz="6" w:space="0"/>
              <w:right w:val="single" w:color="auto" w:sz="6" w:space="0"/>
            </w:tcBorders>
            <w:noWrap w:val="0"/>
            <w:vAlign w:val="top"/>
          </w:tcPr>
          <w:p>
            <w:pPr>
              <w:spacing w:line="500" w:lineRule="exact"/>
              <w:rPr>
                <w:rFonts w:hint="eastAsia" w:ascii="宋体" w:hAnsi="宋体" w:cs="宋体"/>
                <w:sz w:val="24"/>
              </w:rPr>
            </w:pPr>
          </w:p>
        </w:tc>
        <w:tc>
          <w:tcPr>
            <w:tcW w:w="337" w:type="dxa"/>
            <w:vMerge w:val="restart"/>
            <w:tcBorders>
              <w:top w:val="single" w:color="auto" w:sz="0" w:space="0"/>
              <w:left w:val="single" w:color="auto" w:sz="0" w:space="0"/>
              <w:bottom w:val="single" w:color="auto" w:sz="6" w:space="0"/>
              <w:right w:val="single" w:color="auto" w:sz="6" w:space="0"/>
            </w:tcBorders>
            <w:noWrap w:val="0"/>
            <w:vAlign w:val="top"/>
          </w:tcPr>
          <w:p>
            <w:pPr>
              <w:pStyle w:val="4"/>
              <w:spacing w:before="0" w:beforeAutospacing="0" w:after="0" w:afterAutospacing="0" w:line="500" w:lineRule="exact"/>
              <w:jc w:val="center"/>
              <w:textAlignment w:val="top"/>
              <w:rPr>
                <w:rFonts w:hint="eastAsia"/>
              </w:rPr>
            </w:pPr>
            <w:r>
              <w:rPr>
                <w:rFonts w:hint="eastAsia"/>
              </w:rPr>
              <w:t>自然人</w:t>
            </w:r>
          </w:p>
        </w:tc>
        <w:tc>
          <w:tcPr>
            <w:tcW w:w="2988" w:type="dxa"/>
            <w:gridSpan w:val="5"/>
            <w:tcBorders>
              <w:top w:val="single" w:color="auto" w:sz="6" w:space="0"/>
              <w:left w:val="single" w:color="auto" w:sz="0"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法人或其他组织</w:t>
            </w:r>
          </w:p>
        </w:tc>
        <w:tc>
          <w:tcPr>
            <w:tcW w:w="1007" w:type="dxa"/>
            <w:vMerge w:val="restart"/>
            <w:tcBorders>
              <w:top w:val="single" w:color="auto" w:sz="6"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rPr>
              <w:t>总计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231" w:type="dxa"/>
            <w:gridSpan w:val="3"/>
            <w:vMerge w:val="continue"/>
            <w:tcBorders>
              <w:top w:val="single" w:color="auto" w:sz="6" w:space="0"/>
              <w:left w:val="single" w:color="auto" w:sz="6" w:space="0"/>
              <w:bottom w:val="outset" w:color="auto" w:sz="6" w:space="0"/>
              <w:right w:val="single" w:color="auto" w:sz="6" w:space="0"/>
            </w:tcBorders>
            <w:noWrap w:val="0"/>
            <w:vAlign w:val="top"/>
          </w:tcPr>
          <w:p>
            <w:pPr>
              <w:spacing w:line="500" w:lineRule="exact"/>
              <w:rPr>
                <w:rFonts w:hint="eastAsia" w:ascii="宋体" w:hAnsi="宋体" w:cs="宋体"/>
                <w:sz w:val="24"/>
              </w:rPr>
            </w:pPr>
          </w:p>
        </w:tc>
        <w:tc>
          <w:tcPr>
            <w:tcW w:w="337" w:type="dxa"/>
            <w:vMerge w:val="continue"/>
            <w:tcBorders>
              <w:top w:val="single" w:color="auto" w:sz="0" w:space="0"/>
              <w:left w:val="single" w:color="auto" w:sz="0" w:space="0"/>
              <w:bottom w:val="single" w:color="auto" w:sz="6" w:space="0"/>
              <w:right w:val="single" w:color="auto" w:sz="6" w:space="0"/>
            </w:tcBorders>
            <w:noWrap w:val="0"/>
            <w:vAlign w:val="top"/>
          </w:tcPr>
          <w:p>
            <w:pPr>
              <w:spacing w:line="500" w:lineRule="exact"/>
              <w:rPr>
                <w:rFonts w:hint="eastAsia" w:ascii="宋体" w:hAnsi="宋体" w:cs="宋体"/>
                <w:sz w:val="24"/>
              </w:rPr>
            </w:pPr>
          </w:p>
        </w:tc>
        <w:tc>
          <w:tcPr>
            <w:tcW w:w="597" w:type="dxa"/>
            <w:tcBorders>
              <w:top w:val="single" w:color="auto" w:sz="0" w:space="0"/>
              <w:left w:val="single" w:color="auto" w:sz="0"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商业</w:t>
            </w:r>
          </w:p>
          <w:p>
            <w:pPr>
              <w:pStyle w:val="4"/>
              <w:spacing w:before="0" w:beforeAutospacing="0" w:after="0" w:afterAutospacing="0" w:line="500" w:lineRule="exact"/>
              <w:jc w:val="center"/>
              <w:textAlignment w:val="top"/>
              <w:rPr>
                <w:rFonts w:hint="eastAsia"/>
              </w:rPr>
            </w:pPr>
            <w:r>
              <w:rPr>
                <w:rFonts w:hint="eastAsia"/>
              </w:rPr>
              <w:t>企业</w:t>
            </w:r>
          </w:p>
        </w:tc>
        <w:tc>
          <w:tcPr>
            <w:tcW w:w="597" w:type="dxa"/>
            <w:tcBorders>
              <w:top w:val="single" w:color="auto" w:sz="0"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rPr>
              <w:t>科研</w:t>
            </w:r>
          </w:p>
          <w:p>
            <w:pPr>
              <w:pStyle w:val="4"/>
              <w:spacing w:before="0" w:beforeAutospacing="0" w:after="0" w:afterAutospacing="0" w:line="500" w:lineRule="exact"/>
              <w:jc w:val="center"/>
              <w:textAlignment w:val="top"/>
              <w:rPr>
                <w:rFonts w:hint="eastAsia"/>
              </w:rPr>
            </w:pPr>
            <w:r>
              <w:rPr>
                <w:rFonts w:hint="eastAsia"/>
              </w:rPr>
              <w:t>机构</w:t>
            </w:r>
          </w:p>
        </w:tc>
        <w:tc>
          <w:tcPr>
            <w:tcW w:w="597" w:type="dxa"/>
            <w:tcBorders>
              <w:top w:val="single" w:color="auto" w:sz="6"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rPr>
              <w:t>社会公益组织</w:t>
            </w:r>
          </w:p>
        </w:tc>
        <w:tc>
          <w:tcPr>
            <w:tcW w:w="598" w:type="dxa"/>
            <w:tcBorders>
              <w:top w:val="single" w:color="auto" w:sz="6"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rPr>
              <w:t>法律服务机构</w:t>
            </w:r>
          </w:p>
        </w:tc>
        <w:tc>
          <w:tcPr>
            <w:tcW w:w="599" w:type="dxa"/>
            <w:tcBorders>
              <w:top w:val="single" w:color="auto" w:sz="6" w:space="0"/>
              <w:left w:val="single" w:color="auto" w:sz="0"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center"/>
              <w:textAlignment w:val="top"/>
              <w:rPr>
                <w:rFonts w:hint="eastAsia"/>
              </w:rPr>
            </w:pPr>
            <w:r>
              <w:rPr>
                <w:rFonts w:hint="eastAsia"/>
              </w:rPr>
              <w:t>其他</w:t>
            </w:r>
          </w:p>
        </w:tc>
        <w:tc>
          <w:tcPr>
            <w:tcW w:w="1007" w:type="dxa"/>
            <w:vMerge w:val="continue"/>
            <w:tcBorders>
              <w:top w:val="single" w:color="auto" w:sz="6"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231" w:type="dxa"/>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一、本年新收政府信息公开申请数量</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231" w:type="dxa"/>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二、上年结转政府信息公开申请数量</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restart"/>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三、本年度办理结果</w:t>
            </w:r>
          </w:p>
        </w:tc>
        <w:tc>
          <w:tcPr>
            <w:tcW w:w="3631" w:type="dxa"/>
            <w:gridSpan w:val="2"/>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（一）予以公开</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3631" w:type="dxa"/>
            <w:gridSpan w:val="2"/>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（二）部分公开（区分处理的，只计这一情形，不计其他情形）</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restart"/>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（三）不予公开</w:t>
            </w:r>
          </w:p>
        </w:tc>
        <w:tc>
          <w:tcPr>
            <w:tcW w:w="2712"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1.属于国家秘密</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712"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2.其他法律行政法规禁止公开</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712"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3.危及“三安全一稳定”</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712"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4.保护第三方合法权益</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712"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5.属于三类内部事务信息</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712"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6.属于四类过程性信息</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712"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7.属于行政执法案卷</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712"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8.属于行政查询事项</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restart"/>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（四）无法提供</w:t>
            </w:r>
          </w:p>
        </w:tc>
        <w:tc>
          <w:tcPr>
            <w:tcW w:w="2712"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1.本机关不掌握相关政府信息</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712"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2.没有现成信息需要另行制作</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712"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3.补正后申请内容仍不明确</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restart"/>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（五）不予处理</w:t>
            </w:r>
          </w:p>
        </w:tc>
        <w:tc>
          <w:tcPr>
            <w:tcW w:w="2712"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1.信访举报投诉类申请</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712"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2.重复申请</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712"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3.要求提供公开出版物</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712"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4.无正当理由大量反复申请</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712"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both"/>
              <w:textAlignment w:val="top"/>
              <w:rPr>
                <w:rFonts w:hint="eastAsia"/>
              </w:rPr>
            </w:pPr>
            <w:r>
              <w:rPr>
                <w:rFonts w:hint="eastAsia"/>
              </w:rPr>
              <w:t>5.要求行政机关确认或重新出具已获取信息</w:t>
            </w:r>
          </w:p>
        </w:tc>
        <w:tc>
          <w:tcPr>
            <w:tcW w:w="337"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single" w:color="auto" w:sz="0"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restart"/>
            <w:tcBorders>
              <w:top w:val="outset" w:color="auto" w:sz="6"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（六）其他处理</w:t>
            </w:r>
          </w:p>
        </w:tc>
        <w:tc>
          <w:tcPr>
            <w:tcW w:w="2712"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both"/>
              <w:textAlignment w:val="top"/>
              <w:rPr>
                <w:rFonts w:hint="eastAsia"/>
              </w:rPr>
            </w:pPr>
            <w:r>
              <w:rPr>
                <w:rFonts w:hint="eastAsia"/>
              </w:rPr>
              <w:t>1.申请人无正当理由逾期不补正、行政机关不再处理其政府信息公开申请</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outset" w:color="auto" w:sz="6"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712"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jc w:val="both"/>
              <w:textAlignment w:val="top"/>
              <w:rPr>
                <w:rFonts w:hint="eastAsia"/>
              </w:rPr>
            </w:pPr>
            <w:r>
              <w:rPr>
                <w:rFonts w:hint="eastAsia"/>
              </w:rPr>
              <w:t>2.申请人逾期未按收费通知要求缴纳费用、行政机关不再处理其政府信息公开申请</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919" w:type="dxa"/>
            <w:vMerge w:val="continue"/>
            <w:tcBorders>
              <w:top w:val="outset" w:color="auto" w:sz="6" w:space="0"/>
              <w:left w:val="single" w:color="auto" w:sz="0"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2712"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3.其他</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00" w:type="dxa"/>
            <w:vMerge w:val="continue"/>
            <w:tcBorders>
              <w:top w:val="single" w:color="auto" w:sz="0" w:space="0"/>
              <w:left w:val="single" w:color="auto" w:sz="6" w:space="0"/>
              <w:bottom w:val="outset" w:color="auto" w:sz="6" w:space="0"/>
              <w:right w:val="single" w:color="auto" w:sz="6" w:space="0"/>
            </w:tcBorders>
            <w:noWrap w:val="0"/>
            <w:tcMar>
              <w:top w:w="0" w:type="dxa"/>
              <w:left w:w="60" w:type="dxa"/>
              <w:bottom w:w="0" w:type="dxa"/>
              <w:right w:w="60" w:type="dxa"/>
            </w:tcMar>
            <w:vAlign w:val="top"/>
          </w:tcPr>
          <w:p>
            <w:pPr>
              <w:spacing w:line="500" w:lineRule="exact"/>
              <w:rPr>
                <w:rFonts w:hint="eastAsia" w:ascii="宋体" w:hAnsi="宋体" w:cs="宋体"/>
                <w:sz w:val="24"/>
              </w:rPr>
            </w:pPr>
          </w:p>
        </w:tc>
        <w:tc>
          <w:tcPr>
            <w:tcW w:w="3631" w:type="dxa"/>
            <w:gridSpan w:val="2"/>
            <w:tcBorders>
              <w:top w:val="nil"/>
              <w:left w:val="nil"/>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（七）总计</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4231" w:type="dxa"/>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top"/>
          </w:tcPr>
          <w:p>
            <w:pPr>
              <w:pStyle w:val="4"/>
              <w:spacing w:before="0" w:beforeAutospacing="0" w:after="0" w:afterAutospacing="0" w:line="500" w:lineRule="exact"/>
              <w:textAlignment w:val="top"/>
              <w:rPr>
                <w:rFonts w:hint="eastAsia"/>
              </w:rPr>
            </w:pPr>
            <w:r>
              <w:rPr>
                <w:rFonts w:hint="eastAsia"/>
              </w:rPr>
              <w:t>四、结转下年度继续办理</w:t>
            </w:r>
          </w:p>
        </w:tc>
        <w:tc>
          <w:tcPr>
            <w:tcW w:w="33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eastAsia="宋体" w:cs="宋体"/>
                <w:sz w:val="24"/>
                <w:lang w:val="en-US" w:eastAsia="zh-CN"/>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8"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99"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1007" w:type="dxa"/>
            <w:tcBorders>
              <w:top w:val="nil"/>
              <w:left w:val="nil"/>
              <w:bottom w:val="single" w:color="auto" w:sz="6" w:space="0"/>
              <w:right w:val="single" w:color="auto" w:sz="6" w:space="0"/>
            </w:tcBorders>
            <w:noWrap w:val="0"/>
            <w:tcMar>
              <w:top w:w="0" w:type="dxa"/>
              <w:left w:w="60" w:type="dxa"/>
              <w:bottom w:w="0" w:type="dxa"/>
              <w:right w:w="60"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bl>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top"/>
        <w:rPr>
          <w:rFonts w:hint="eastAsia" w:ascii="黑体" w:hAnsi="黑体" w:eastAsia="黑体" w:cs="黑体"/>
          <w:color w:val="000000"/>
          <w:kern w:val="2"/>
          <w:sz w:val="32"/>
          <w:szCs w:val="32"/>
          <w:shd w:val="clear" w:color="auto" w:fill="FFFFFF"/>
        </w:rPr>
      </w:pPr>
      <w:r>
        <w:rPr>
          <w:rFonts w:hint="eastAsia" w:ascii="黑体" w:hAnsi="黑体" w:eastAsia="黑体" w:cs="黑体"/>
          <w:color w:val="000000"/>
          <w:kern w:val="2"/>
          <w:sz w:val="32"/>
          <w:szCs w:val="32"/>
          <w:shd w:val="clear" w:color="auto" w:fill="FFFFFF"/>
        </w:rPr>
        <w:t>四、政府信息公开行政复议、行政诉讼情况</w:t>
      </w:r>
    </w:p>
    <w:tbl>
      <w:tblPr>
        <w:tblStyle w:val="5"/>
        <w:tblpPr w:leftFromText="180" w:rightFromText="180" w:vertAnchor="text" w:horzAnchor="page" w:tblpX="1859" w:tblpY="28"/>
        <w:tblOverlap w:val="never"/>
        <w:tblW w:w="851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67"/>
        <w:gridCol w:w="567"/>
        <w:gridCol w:w="567"/>
        <w:gridCol w:w="567"/>
        <w:gridCol w:w="568"/>
        <w:gridCol w:w="568"/>
        <w:gridCol w:w="568"/>
        <w:gridCol w:w="568"/>
        <w:gridCol w:w="568"/>
        <w:gridCol w:w="568"/>
        <w:gridCol w:w="568"/>
        <w:gridCol w:w="568"/>
        <w:gridCol w:w="568"/>
        <w:gridCol w:w="568"/>
        <w:gridCol w:w="56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836"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行政复议</w:t>
            </w:r>
          </w:p>
        </w:tc>
        <w:tc>
          <w:tcPr>
            <w:tcW w:w="5680" w:type="dxa"/>
            <w:gridSpan w:val="10"/>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行政诉讼</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67" w:type="dxa"/>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结果维持</w:t>
            </w:r>
          </w:p>
        </w:tc>
        <w:tc>
          <w:tcPr>
            <w:tcW w:w="567" w:type="dxa"/>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eastAsia="宋体"/>
                <w:lang w:eastAsia="zh-CN"/>
              </w:rPr>
            </w:pPr>
            <w:r>
              <w:rPr>
                <w:rFonts w:hint="eastAsia"/>
              </w:rPr>
              <w:t>结果</w:t>
            </w:r>
          </w:p>
          <w:p>
            <w:pPr>
              <w:pStyle w:val="4"/>
              <w:spacing w:before="0" w:beforeAutospacing="0" w:after="0" w:afterAutospacing="0" w:line="500" w:lineRule="exact"/>
              <w:jc w:val="center"/>
              <w:textAlignment w:val="top"/>
              <w:rPr>
                <w:rFonts w:hint="eastAsia"/>
              </w:rPr>
            </w:pPr>
            <w:r>
              <w:rPr>
                <w:rFonts w:hint="eastAsia"/>
              </w:rPr>
              <w:t>纠正</w:t>
            </w:r>
          </w:p>
        </w:tc>
        <w:tc>
          <w:tcPr>
            <w:tcW w:w="567"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eastAsia="宋体"/>
                <w:lang w:eastAsia="zh-CN"/>
              </w:rPr>
            </w:pPr>
            <w:r>
              <w:rPr>
                <w:rFonts w:hint="eastAsia"/>
              </w:rPr>
              <w:t>其他</w:t>
            </w:r>
          </w:p>
          <w:p>
            <w:pPr>
              <w:pStyle w:val="4"/>
              <w:spacing w:before="0" w:beforeAutospacing="0" w:after="0" w:afterAutospacing="0" w:line="500" w:lineRule="exact"/>
              <w:jc w:val="center"/>
              <w:textAlignment w:val="top"/>
              <w:rPr>
                <w:rFonts w:hint="eastAsia"/>
              </w:rPr>
            </w:pPr>
            <w:r>
              <w:rPr>
                <w:rFonts w:hint="eastAsia"/>
              </w:rPr>
              <w:t>结果</w:t>
            </w:r>
          </w:p>
        </w:tc>
        <w:tc>
          <w:tcPr>
            <w:tcW w:w="567"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eastAsia="宋体"/>
                <w:lang w:eastAsia="zh-CN"/>
              </w:rPr>
            </w:pPr>
            <w:r>
              <w:rPr>
                <w:rFonts w:hint="eastAsia"/>
              </w:rPr>
              <w:t>尚未</w:t>
            </w:r>
          </w:p>
          <w:p>
            <w:pPr>
              <w:pStyle w:val="4"/>
              <w:spacing w:before="0" w:beforeAutospacing="0" w:after="0" w:afterAutospacing="0" w:line="500" w:lineRule="exact"/>
              <w:jc w:val="center"/>
              <w:textAlignment w:val="top"/>
              <w:rPr>
                <w:rFonts w:hint="eastAsia"/>
              </w:rPr>
            </w:pPr>
            <w:r>
              <w:rPr>
                <w:rFonts w:hint="eastAsia"/>
              </w:rPr>
              <w:t>审结</w:t>
            </w:r>
          </w:p>
        </w:tc>
        <w:tc>
          <w:tcPr>
            <w:tcW w:w="568"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总计</w:t>
            </w:r>
          </w:p>
        </w:tc>
        <w:tc>
          <w:tcPr>
            <w:tcW w:w="2840"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未经复议直接起诉</w:t>
            </w:r>
          </w:p>
        </w:tc>
        <w:tc>
          <w:tcPr>
            <w:tcW w:w="2840"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rPr>
              <w:t>复议后起诉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67"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spacing w:line="500" w:lineRule="exact"/>
              <w:rPr>
                <w:rFonts w:hint="eastAsia" w:ascii="宋体" w:hAnsi="宋体" w:cs="宋体"/>
                <w:sz w:val="24"/>
              </w:rPr>
            </w:pPr>
          </w:p>
        </w:tc>
        <w:tc>
          <w:tcPr>
            <w:tcW w:w="567"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spacing w:line="500" w:lineRule="exact"/>
              <w:rPr>
                <w:rFonts w:hint="eastAsia" w:ascii="宋体" w:hAnsi="宋体" w:cs="宋体"/>
                <w:sz w:val="24"/>
              </w:rPr>
            </w:pPr>
          </w:p>
        </w:tc>
        <w:tc>
          <w:tcPr>
            <w:tcW w:w="567"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spacing w:line="500" w:lineRule="exact"/>
              <w:rPr>
                <w:rFonts w:hint="eastAsia" w:ascii="宋体" w:hAnsi="宋体" w:cs="宋体"/>
                <w:sz w:val="24"/>
              </w:rPr>
            </w:pPr>
          </w:p>
        </w:tc>
        <w:tc>
          <w:tcPr>
            <w:tcW w:w="567"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spacing w:line="500" w:lineRule="exact"/>
              <w:rPr>
                <w:rFonts w:hint="eastAsia" w:ascii="宋体" w:hAnsi="宋体" w:cs="宋体"/>
                <w:sz w:val="24"/>
              </w:rPr>
            </w:pPr>
          </w:p>
        </w:tc>
        <w:tc>
          <w:tcPr>
            <w:tcW w:w="568" w:type="dxa"/>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spacing w:line="500" w:lineRule="exact"/>
              <w:rPr>
                <w:rFonts w:hint="eastAsia" w:ascii="宋体" w:hAnsi="宋体" w:cs="宋体"/>
                <w:sz w:val="24"/>
              </w:rPr>
            </w:pP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eastAsia="宋体"/>
                <w:lang w:eastAsia="zh-CN"/>
              </w:rPr>
            </w:pPr>
            <w:r>
              <w:rPr>
                <w:rFonts w:hint="eastAsia"/>
              </w:rPr>
              <w:t>结果</w:t>
            </w:r>
          </w:p>
          <w:p>
            <w:pPr>
              <w:pStyle w:val="4"/>
              <w:spacing w:before="0" w:beforeAutospacing="0" w:after="0" w:afterAutospacing="0" w:line="500" w:lineRule="exact"/>
              <w:jc w:val="center"/>
              <w:textAlignment w:val="top"/>
              <w:rPr>
                <w:rFonts w:hint="eastAsia"/>
              </w:rPr>
            </w:pPr>
            <w:r>
              <w:rPr>
                <w:rFonts w:hint="eastAsia"/>
              </w:rPr>
              <w:t>维持</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eastAsia="宋体"/>
                <w:lang w:eastAsia="zh-CN"/>
              </w:rPr>
            </w:pPr>
            <w:r>
              <w:rPr>
                <w:rFonts w:hint="eastAsia"/>
              </w:rPr>
              <w:t>结果</w:t>
            </w:r>
          </w:p>
          <w:p>
            <w:pPr>
              <w:pStyle w:val="4"/>
              <w:spacing w:before="0" w:beforeAutospacing="0" w:after="0" w:afterAutospacing="0" w:line="500" w:lineRule="exact"/>
              <w:jc w:val="center"/>
              <w:textAlignment w:val="top"/>
              <w:rPr>
                <w:rFonts w:hint="eastAsia"/>
              </w:rPr>
            </w:pPr>
            <w:r>
              <w:rPr>
                <w:rFonts w:hint="eastAsia"/>
              </w:rPr>
              <w:t>纠正</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eastAsia="宋体"/>
                <w:lang w:eastAsia="zh-CN"/>
              </w:rPr>
            </w:pPr>
            <w:r>
              <w:rPr>
                <w:rFonts w:hint="eastAsia"/>
              </w:rPr>
              <w:t>其他</w:t>
            </w:r>
          </w:p>
          <w:p>
            <w:pPr>
              <w:pStyle w:val="4"/>
              <w:spacing w:before="0" w:beforeAutospacing="0" w:after="0" w:afterAutospacing="0" w:line="500" w:lineRule="exact"/>
              <w:jc w:val="center"/>
              <w:textAlignment w:val="top"/>
              <w:rPr>
                <w:rFonts w:hint="eastAsia"/>
              </w:rPr>
            </w:pPr>
            <w:r>
              <w:rPr>
                <w:rFonts w:hint="eastAsia"/>
              </w:rPr>
              <w:t>结果</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eastAsia="宋体"/>
                <w:lang w:eastAsia="zh-CN"/>
              </w:rPr>
            </w:pPr>
            <w:r>
              <w:rPr>
                <w:rFonts w:hint="eastAsia"/>
              </w:rPr>
              <w:t>尚未</w:t>
            </w:r>
          </w:p>
          <w:p>
            <w:pPr>
              <w:pStyle w:val="4"/>
              <w:spacing w:before="0" w:beforeAutospacing="0" w:after="0" w:afterAutospacing="0" w:line="500" w:lineRule="exact"/>
              <w:jc w:val="center"/>
              <w:textAlignment w:val="top"/>
              <w:rPr>
                <w:rFonts w:hint="eastAsia"/>
              </w:rPr>
            </w:pPr>
            <w:r>
              <w:rPr>
                <w:rFonts w:hint="eastAsia"/>
              </w:rPr>
              <w:t>审结</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总计</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eastAsia="宋体"/>
                <w:lang w:eastAsia="zh-CN"/>
              </w:rPr>
            </w:pPr>
            <w:r>
              <w:rPr>
                <w:rFonts w:hint="eastAsia"/>
              </w:rPr>
              <w:t>结果</w:t>
            </w:r>
          </w:p>
          <w:p>
            <w:pPr>
              <w:pStyle w:val="4"/>
              <w:spacing w:before="0" w:beforeAutospacing="0" w:after="0" w:afterAutospacing="0" w:line="500" w:lineRule="exact"/>
              <w:jc w:val="center"/>
              <w:textAlignment w:val="top"/>
              <w:rPr>
                <w:rFonts w:hint="eastAsia"/>
              </w:rPr>
            </w:pPr>
            <w:r>
              <w:rPr>
                <w:rFonts w:hint="eastAsia"/>
              </w:rPr>
              <w:t>维持</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eastAsia="宋体"/>
                <w:lang w:eastAsia="zh-CN"/>
              </w:rPr>
            </w:pPr>
            <w:r>
              <w:rPr>
                <w:rFonts w:hint="eastAsia"/>
              </w:rPr>
              <w:t>结果</w:t>
            </w:r>
          </w:p>
          <w:p>
            <w:pPr>
              <w:pStyle w:val="4"/>
              <w:spacing w:before="0" w:beforeAutospacing="0" w:after="0" w:afterAutospacing="0" w:line="500" w:lineRule="exact"/>
              <w:jc w:val="center"/>
              <w:textAlignment w:val="top"/>
              <w:rPr>
                <w:rFonts w:hint="eastAsia"/>
              </w:rPr>
            </w:pPr>
            <w:r>
              <w:rPr>
                <w:rFonts w:hint="eastAsia"/>
              </w:rPr>
              <w:t>纠正</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eastAsia="宋体"/>
                <w:color w:val="000000"/>
                <w:lang w:eastAsia="zh-CN"/>
              </w:rPr>
            </w:pPr>
            <w:r>
              <w:rPr>
                <w:rFonts w:hint="eastAsia"/>
                <w:color w:val="000000"/>
              </w:rPr>
              <w:t>其他</w:t>
            </w:r>
          </w:p>
          <w:p>
            <w:pPr>
              <w:pStyle w:val="4"/>
              <w:spacing w:before="0" w:beforeAutospacing="0" w:after="0" w:afterAutospacing="0" w:line="500" w:lineRule="exact"/>
              <w:jc w:val="center"/>
              <w:textAlignment w:val="top"/>
              <w:rPr>
                <w:rFonts w:hint="eastAsia"/>
              </w:rPr>
            </w:pPr>
            <w:r>
              <w:rPr>
                <w:rFonts w:hint="eastAsia"/>
                <w:color w:val="000000"/>
              </w:rPr>
              <w:t>结果</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eastAsia="宋体"/>
                <w:lang w:eastAsia="zh-CN"/>
              </w:rPr>
            </w:pPr>
            <w:r>
              <w:rPr>
                <w:rFonts w:hint="eastAsia"/>
              </w:rPr>
              <w:t>尚未</w:t>
            </w:r>
          </w:p>
          <w:p>
            <w:pPr>
              <w:pStyle w:val="4"/>
              <w:spacing w:before="0" w:beforeAutospacing="0" w:after="0" w:afterAutospacing="0" w:line="500" w:lineRule="exact"/>
              <w:jc w:val="center"/>
              <w:textAlignment w:val="top"/>
              <w:rPr>
                <w:rFonts w:hint="eastAsia"/>
              </w:rPr>
            </w:pPr>
            <w:r>
              <w:rPr>
                <w:rFonts w:hint="eastAsia"/>
              </w:rPr>
              <w:t>审结</w:t>
            </w:r>
          </w:p>
        </w:tc>
        <w:tc>
          <w:tcPr>
            <w:tcW w:w="568"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4"/>
              <w:spacing w:before="0" w:beforeAutospacing="0" w:after="0" w:afterAutospacing="0" w:line="500" w:lineRule="exact"/>
              <w:jc w:val="center"/>
              <w:textAlignment w:val="top"/>
              <w:rPr>
                <w:rFonts w:hint="eastAsia"/>
              </w:rPr>
            </w:pPr>
            <w:r>
              <w:rPr>
                <w:rFonts w:hint="eastAsia"/>
                <w:color w:val="000000"/>
              </w:rPr>
              <w:t>总计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75" w:hRule="atLeast"/>
        </w:trPr>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6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c>
          <w:tcPr>
            <w:tcW w:w="568"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widowControl/>
              <w:spacing w:line="500" w:lineRule="exact"/>
              <w:jc w:val="center"/>
              <w:textAlignment w:val="top"/>
              <w:rPr>
                <w:rFonts w:hint="eastAsia" w:ascii="宋体" w:hAnsi="宋体" w:cs="宋体"/>
                <w:sz w:val="24"/>
              </w:rPr>
            </w:pPr>
            <w:r>
              <w:rPr>
                <w:rFonts w:hint="eastAsia" w:ascii="宋体" w:hAnsi="宋体" w:cs="宋体"/>
                <w:sz w:val="24"/>
                <w:lang w:val="en-US" w:eastAsia="zh-CN"/>
              </w:rPr>
              <w:t>0</w:t>
            </w:r>
          </w:p>
        </w:tc>
      </w:tr>
    </w:tbl>
    <w:p>
      <w:pPr>
        <w:widowControl/>
        <w:spacing w:line="560" w:lineRule="exact"/>
        <w:ind w:left="0" w:leftChars="0" w:firstLine="640" w:firstLineChars="200"/>
        <w:jc w:val="left"/>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lang w:eastAsia="zh-CN"/>
        </w:rPr>
        <w:t>五、</w:t>
      </w:r>
      <w:r>
        <w:rPr>
          <w:rFonts w:hint="eastAsia" w:ascii="黑体" w:hAnsi="宋体" w:eastAsia="黑体" w:cs="黑体"/>
          <w:color w:val="000000"/>
          <w:kern w:val="0"/>
          <w:sz w:val="32"/>
          <w:szCs w:val="32"/>
        </w:rPr>
        <w:t>存在的主要问题及改进情况</w:t>
      </w:r>
    </w:p>
    <w:p>
      <w:pPr>
        <w:widowControl/>
        <w:spacing w:line="560" w:lineRule="exact"/>
        <w:ind w:firstLine="470"/>
        <w:jc w:val="left"/>
        <w:rPr>
          <w:rFonts w:ascii="宋体" w:cs="Times New Roman"/>
          <w:color w:val="000000"/>
          <w:sz w:val="24"/>
          <w:szCs w:val="24"/>
        </w:rPr>
      </w:pPr>
      <w:r>
        <w:rPr>
          <w:rFonts w:hint="eastAsia" w:ascii="楷体_GB2312" w:hAnsi="宋体" w:eastAsia="楷体_GB2312" w:cs="楷体_GB2312"/>
          <w:b/>
          <w:bCs/>
          <w:color w:val="000000"/>
          <w:kern w:val="0"/>
          <w:sz w:val="32"/>
          <w:szCs w:val="32"/>
        </w:rPr>
        <w:t>（一）主要问题</w:t>
      </w:r>
    </w:p>
    <w:p>
      <w:pPr>
        <w:widowControl/>
        <w:spacing w:line="560" w:lineRule="exact"/>
        <w:ind w:firstLine="470" w:firstLineChars="0"/>
        <w:jc w:val="left"/>
        <w:rPr>
          <w:rFonts w:hint="eastAsia" w:ascii="仿宋_GB2312" w:hAnsi="宋体"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color="auto" w:fill="FFFFFF"/>
          <w:lang w:val="en-US" w:eastAsia="zh-CN" w:bidi="ar"/>
        </w:rPr>
        <w:t>一是公开渠道运维不均衡，网站信息更新频次存在差异，部分线下公开栏更新不及时；二是工作人员业务能力有待加强，对信息公开范围、边界的把握不够精准，专业素养需进一步提升。</w:t>
      </w:r>
    </w:p>
    <w:p>
      <w:pPr>
        <w:widowControl/>
        <w:spacing w:line="560" w:lineRule="exact"/>
        <w:ind w:firstLine="470"/>
        <w:jc w:val="left"/>
        <w:rPr>
          <w:rFonts w:ascii="宋体" w:cs="Times New Roman"/>
          <w:color w:val="000000"/>
          <w:sz w:val="24"/>
          <w:szCs w:val="24"/>
        </w:rPr>
      </w:pPr>
      <w:r>
        <w:rPr>
          <w:rFonts w:hint="eastAsia" w:ascii="楷体_GB2312" w:hAnsi="宋体" w:eastAsia="楷体_GB2312" w:cs="楷体_GB2312"/>
          <w:b/>
          <w:bCs/>
          <w:color w:val="000000"/>
          <w:kern w:val="0"/>
          <w:sz w:val="32"/>
          <w:szCs w:val="32"/>
        </w:rPr>
        <w:t>（二）改进措施</w:t>
      </w:r>
    </w:p>
    <w:p>
      <w:pPr>
        <w:widowControl/>
        <w:spacing w:line="560" w:lineRule="exact"/>
        <w:ind w:firstLine="470" w:firstLineChars="0"/>
        <w:jc w:val="left"/>
        <w:rPr>
          <w:rFonts w:hint="eastAsia" w:ascii="仿宋_GB2312" w:hAnsi="宋体"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color="auto" w:fill="FFFFFF"/>
          <w:lang w:val="en-US" w:eastAsia="zh-CN" w:bidi="ar"/>
        </w:rPr>
        <w:t>一是强化基层公开管理，建立公示栏更新台账，确保基层信息公开及时规范；二是强化业务能力提升，组织开展政府信息公开业务培训，通过案例分析、交流研讨等方式，提升工作人员专业素养和实操能力。</w:t>
      </w:r>
    </w:p>
    <w:p>
      <w:pPr>
        <w:widowControl/>
        <w:spacing w:line="560" w:lineRule="exact"/>
        <w:ind w:firstLine="480" w:firstLineChars="0"/>
        <w:jc w:val="left"/>
        <w:rPr>
          <w:rFonts w:hint="eastAsia" w:ascii="黑体" w:hAnsi="宋体" w:eastAsia="黑体" w:cs="黑体"/>
          <w:color w:val="000000"/>
          <w:kern w:val="0"/>
          <w:sz w:val="32"/>
          <w:szCs w:val="32"/>
          <w:lang w:eastAsia="zh-CN"/>
        </w:rPr>
      </w:pPr>
      <w:r>
        <w:rPr>
          <w:rFonts w:hint="eastAsia" w:ascii="黑体" w:hAnsi="宋体" w:eastAsia="黑体" w:cs="黑体"/>
          <w:color w:val="000000"/>
          <w:kern w:val="0"/>
          <w:sz w:val="32"/>
          <w:szCs w:val="32"/>
          <w:lang w:eastAsia="zh-CN"/>
        </w:rPr>
        <w:t>六、其他需要报告的事项</w:t>
      </w:r>
    </w:p>
    <w:p>
      <w:pPr>
        <w:widowControl/>
        <w:spacing w:line="560" w:lineRule="exact"/>
        <w:ind w:firstLine="470" w:firstLineChars="0"/>
        <w:jc w:val="left"/>
        <w:rPr>
          <w:rFonts w:hint="eastAsia" w:ascii="仿宋_GB2312" w:hAnsi="宋体"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宋体" w:eastAsia="仿宋_GB2312" w:cs="仿宋_GB2312"/>
          <w:i w:val="0"/>
          <w:iCs w:val="0"/>
          <w:caps w:val="0"/>
          <w:color w:val="000000"/>
          <w:spacing w:val="0"/>
          <w:kern w:val="0"/>
          <w:sz w:val="32"/>
          <w:szCs w:val="32"/>
          <w:shd w:val="clear" w:color="auto" w:fill="FFFFFF"/>
          <w:lang w:val="en-US" w:eastAsia="zh-CN" w:bidi="ar"/>
        </w:rPr>
        <w:t>本单位严格依据《政府信息公开信息处理费管理办法》（国办函〔2020〕109号）《财政部办公厅关于政府信息公开信息处理费收入收缴管理有关事宜的通知》（财办库〔2020〕254号）和《福建省非税收入管理办法》（省政府</w:t>
      </w:r>
      <w:bookmarkStart w:id="0" w:name="_GoBack"/>
      <w:bookmarkEnd w:id="0"/>
      <w:r>
        <w:rPr>
          <w:rFonts w:hint="eastAsia" w:ascii="仿宋_GB2312" w:hAnsi="宋体" w:eastAsia="仿宋_GB2312" w:cs="仿宋_GB2312"/>
          <w:i w:val="0"/>
          <w:iCs w:val="0"/>
          <w:caps w:val="0"/>
          <w:color w:val="000000"/>
          <w:spacing w:val="0"/>
          <w:kern w:val="0"/>
          <w:sz w:val="32"/>
          <w:szCs w:val="32"/>
          <w:shd w:val="clear" w:color="auto" w:fill="FFFFFF"/>
          <w:lang w:val="en-US" w:eastAsia="zh-CN" w:bidi="ar"/>
        </w:rPr>
        <w:t>令第153号）等文件要求，做好信息处理费收缴管理工作。2025年本单位未收取政府信息处理费。</w:t>
      </w:r>
    </w:p>
    <w:p>
      <w:pPr>
        <w:widowControl/>
        <w:spacing w:line="560" w:lineRule="exact"/>
        <w:ind w:firstLine="640"/>
        <w:jc w:val="left"/>
        <w:rPr>
          <w:rFonts w:ascii="宋体" w:cs="Times New Roman"/>
          <w:color w:val="000000"/>
          <w:sz w:val="24"/>
          <w:szCs w:val="24"/>
        </w:rPr>
      </w:pPr>
    </w:p>
    <w:p>
      <w:pPr>
        <w:widowControl/>
        <w:spacing w:line="560" w:lineRule="exact"/>
        <w:jc w:val="left"/>
        <w:rPr>
          <w:rFonts w:ascii="宋体" w:cs="宋体"/>
          <w:color w:val="000000"/>
          <w:kern w:val="0"/>
          <w:sz w:val="32"/>
          <w:szCs w:val="32"/>
        </w:rPr>
      </w:pPr>
      <w:r>
        <w:rPr>
          <w:rFonts w:ascii="宋体" w:cs="Times New Roman"/>
          <w:color w:val="000000"/>
          <w:kern w:val="0"/>
          <w:sz w:val="32"/>
          <w:szCs w:val="32"/>
        </w:rPr>
        <w:t>                                </w:t>
      </w:r>
      <w:r>
        <w:rPr>
          <w:rFonts w:ascii="宋体" w:hAnsi="宋体" w:cs="宋体"/>
          <w:color w:val="000000"/>
          <w:kern w:val="0"/>
          <w:sz w:val="32"/>
          <w:szCs w:val="32"/>
        </w:rPr>
        <w:t xml:space="preserve">  </w:t>
      </w:r>
    </w:p>
    <w:p>
      <w:pPr>
        <w:widowControl/>
        <w:spacing w:line="560" w:lineRule="exact"/>
        <w:ind w:firstLine="3680" w:firstLineChars="1150"/>
        <w:jc w:val="right"/>
        <w:rPr>
          <w:rFonts w:hint="eastAsia" w:ascii="宋体" w:eastAsia="仿宋_GB2312" w:cs="Times New Roman"/>
          <w:color w:val="000000"/>
          <w:sz w:val="24"/>
          <w:szCs w:val="24"/>
          <w:lang w:eastAsia="zh-CN"/>
        </w:rPr>
      </w:pPr>
      <w:r>
        <w:rPr>
          <w:rFonts w:hint="eastAsia" w:ascii="仿宋_GB2312" w:hAnsi="宋体" w:eastAsia="仿宋_GB2312" w:cs="仿宋_GB2312"/>
          <w:color w:val="000000"/>
          <w:kern w:val="0"/>
          <w:sz w:val="32"/>
          <w:szCs w:val="32"/>
        </w:rPr>
        <w:t>安溪县</w:t>
      </w:r>
      <w:r>
        <w:rPr>
          <w:rFonts w:hint="eastAsia" w:ascii="仿宋_GB2312" w:hAnsi="宋体" w:eastAsia="仿宋_GB2312" w:cs="仿宋_GB2312"/>
          <w:color w:val="000000"/>
          <w:kern w:val="0"/>
          <w:sz w:val="32"/>
          <w:szCs w:val="32"/>
          <w:lang w:eastAsia="zh-CN"/>
        </w:rPr>
        <w:t>凤城镇人民政府</w:t>
      </w:r>
    </w:p>
    <w:p>
      <w:pPr>
        <w:widowControl/>
        <w:spacing w:line="560" w:lineRule="exact"/>
        <w:jc w:val="right"/>
        <w:rPr>
          <w:rFonts w:hint="eastAsia"/>
          <w:lang w:val="en-US" w:eastAsia="zh-CN"/>
        </w:rPr>
      </w:pPr>
      <w:r>
        <w:rPr>
          <w:rFonts w:ascii="宋体" w:cs="Times New Roman"/>
          <w:color w:val="000000"/>
          <w:kern w:val="0"/>
          <w:sz w:val="32"/>
          <w:szCs w:val="32"/>
        </w:rPr>
        <w:t>          </w:t>
      </w:r>
      <w:r>
        <w:rPr>
          <w:rFonts w:ascii="仿宋_GB2312" w:hAnsi="宋体" w:eastAsia="仿宋_GB2312" w:cs="Times New Roman"/>
          <w:color w:val="000000"/>
          <w:kern w:val="0"/>
          <w:sz w:val="32"/>
          <w:szCs w:val="32"/>
        </w:rPr>
        <w:t>       </w:t>
      </w:r>
      <w:r>
        <w:rPr>
          <w:rFonts w:ascii="仿宋_GB2312" w:hAnsi="宋体" w:eastAsia="仿宋_GB2312" w:cs="仿宋_GB2312"/>
          <w:color w:val="000000"/>
          <w:kern w:val="0"/>
          <w:sz w:val="32"/>
          <w:szCs w:val="32"/>
        </w:rPr>
        <w:t xml:space="preserve">        202</w:t>
      </w:r>
      <w:r>
        <w:rPr>
          <w:rFonts w:hint="eastAsia" w:ascii="仿宋_GB2312" w:hAnsi="宋体" w:eastAsia="仿宋_GB2312" w:cs="仿宋_GB2312"/>
          <w:color w:val="000000"/>
          <w:kern w:val="0"/>
          <w:sz w:val="32"/>
          <w:szCs w:val="32"/>
          <w:lang w:val="en-US" w:eastAsia="zh-CN"/>
        </w:rPr>
        <w:t>6</w:t>
      </w:r>
      <w:r>
        <w:rPr>
          <w:rFonts w:hint="eastAsia" w:ascii="仿宋_GB2312" w:hAnsi="宋体" w:eastAsia="仿宋_GB2312" w:cs="仿宋_GB2312"/>
          <w:color w:val="000000"/>
          <w:kern w:val="0"/>
          <w:sz w:val="32"/>
          <w:szCs w:val="32"/>
        </w:rPr>
        <w:t>年</w:t>
      </w: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rPr>
        <w:t>月</w:t>
      </w:r>
      <w:r>
        <w:rPr>
          <w:rFonts w:hint="eastAsia" w:ascii="仿宋_GB2312" w:hAnsi="宋体" w:eastAsia="仿宋_GB2312" w:cs="仿宋_GB2312"/>
          <w:color w:val="000000"/>
          <w:kern w:val="0"/>
          <w:sz w:val="32"/>
          <w:szCs w:val="32"/>
          <w:lang w:val="en-US" w:eastAsia="zh-CN"/>
        </w:rPr>
        <w:t>16</w:t>
      </w:r>
      <w:r>
        <w:rPr>
          <w:rFonts w:hint="eastAsia" w:ascii="仿宋_GB2312" w:hAnsi="宋体" w:eastAsia="仿宋_GB2312" w:cs="仿宋_GB2312"/>
          <w:color w:val="000000"/>
          <w:kern w:val="0"/>
          <w:sz w:val="32"/>
          <w:szCs w:val="32"/>
        </w:rPr>
        <w:t>日</w:t>
      </w:r>
    </w:p>
    <w:p>
      <w:pPr>
        <w:rPr>
          <w:rFonts w:ascii="仿宋_GB2312" w:hAnsi="仿宋_GB2312" w:eastAsia="仿宋_GB2312" w:cs="Times New Roman"/>
          <w:sz w:val="32"/>
          <w:szCs w:val="32"/>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Cambria">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华文行楷">
    <w:panose1 w:val="02010800040101010101"/>
    <w:charset w:val="86"/>
    <w:family w:val="auto"/>
    <w:pitch w:val="default"/>
    <w:sig w:usb0="00000001" w:usb1="080F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Droid Sans Fallback">
    <w:panose1 w:val="020B0502000000000001"/>
    <w:charset w:val="86"/>
    <w:family w:val="auto"/>
    <w:pitch w:val="default"/>
    <w:sig w:usb0="910002FF" w:usb1="2BDFFCFB" w:usb2="00000036" w:usb3="00000000" w:csb0="203F01FF" w:csb1="D7FF0000"/>
  </w:font>
  <w:font w:name="FreeSans">
    <w:panose1 w:val="020B0504020202020204"/>
    <w:charset w:val="00"/>
    <w:family w:val="auto"/>
    <w:pitch w:val="default"/>
    <w:sig w:usb0="E4839EFF" w:usb1="4600FDFF" w:usb2="000030A0" w:usb3="00000584" w:csb0="600001BF" w:csb1="DFF70000"/>
  </w:font>
  <w:font w:name="D050000L">
    <w:panose1 w:val="00000000000000000000"/>
    <w:charset w:val="00"/>
    <w:family w:val="auto"/>
    <w:pitch w:val="default"/>
    <w:sig w:usb0="00000000" w:usb1="00000000" w:usb2="00000000" w:usb3="00000000" w:csb0="00000000" w:csb1="00000000"/>
  </w:font>
  <w:font w:name="Liberation Sans Narrow">
    <w:panose1 w:val="020B0606020202030204"/>
    <w:charset w:val="00"/>
    <w:family w:val="auto"/>
    <w:pitch w:val="default"/>
    <w:sig w:usb0="A00002AF" w:usb1="500078FB" w:usb2="00000000" w:usb3="00000000" w:csb0="6000009F" w:csb1="DFD70000"/>
  </w:font>
  <w:font w:name="MathJax_AMS">
    <w:panose1 w:val="00000000000000000000"/>
    <w:charset w:val="00"/>
    <w:family w:val="auto"/>
    <w:pitch w:val="default"/>
    <w:sig w:usb0="800000EF" w:usb1="1000ECED" w:usb2="00000000" w:usb3="00000000" w:csb0="2000008F" w:csb1="5E030000"/>
  </w:font>
  <w:font w:name="MathJax_Fraktur">
    <w:panose1 w:val="00000000000000000000"/>
    <w:charset w:val="00"/>
    <w:family w:val="auto"/>
    <w:pitch w:val="default"/>
    <w:sig w:usb0="800000EF" w:usb1="1000ECED" w:usb2="00000000" w:usb3="00000000" w:csb0="2000008F" w:csb1="5E030000"/>
  </w:font>
  <w:font w:name="MathJax_SansSerif">
    <w:panose1 w:val="00000000000000000000"/>
    <w:charset w:val="00"/>
    <w:family w:val="auto"/>
    <w:pitch w:val="default"/>
    <w:sig w:usb0="800000EF" w:usb1="1000ECED" w:usb2="00000000" w:usb3="00000000" w:csb0="2000008F" w:csb1="5E030000"/>
  </w:font>
  <w:font w:name="MathJax_Size3">
    <w:panose1 w:val="00000000000000000000"/>
    <w:charset w:val="00"/>
    <w:family w:val="auto"/>
    <w:pitch w:val="default"/>
    <w:sig w:usb0="800000EF" w:usb1="1000ECED" w:usb2="00000000" w:usb3="00000000" w:csb0="2000008F" w:csb1="5E030000"/>
  </w:font>
  <w:font w:name="Nimbus Sans">
    <w:panose1 w:val="00000000000000000000"/>
    <w:charset w:val="00"/>
    <w:family w:val="auto"/>
    <w:pitch w:val="default"/>
    <w:sig w:usb0="00000000" w:usb1="00000000" w:usb2="00000000" w:usb3="00000000" w:csb0="00000000" w:csb1="00000000"/>
  </w:font>
  <w:font w:name="Nimbus Mono PS">
    <w:panose1 w:val="00000000000000000000"/>
    <w:charset w:val="00"/>
    <w:family w:val="auto"/>
    <w:pitch w:val="default"/>
    <w:sig w:usb0="00000000" w:usb1="00000000" w:usb2="00000000" w:usb3="00000000" w:csb0="00000000" w:csb1="00000000"/>
  </w:font>
  <w:font w:name="Nimbus Roman">
    <w:panose1 w:val="00000500000000000000"/>
    <w:charset w:val="00"/>
    <w:family w:val="auto"/>
    <w:pitch w:val="default"/>
    <w:sig w:usb0="00000287" w:usb1="00000800" w:usb2="00000000" w:usb3="00000000" w:csb0="6000009F" w:csb1="00000000"/>
  </w:font>
  <w:font w:name="Noto Sans Adlam">
    <w:panose1 w:val="020B0502040504020204"/>
    <w:charset w:val="00"/>
    <w:family w:val="auto"/>
    <w:pitch w:val="default"/>
    <w:sig w:usb0="80002003" w:usb1="02000000" w:usb2="00000000" w:usb3="00000000" w:csb0="00000001" w:csb1="00000000"/>
  </w:font>
  <w:font w:name="Noto Sans Bengali">
    <w:panose1 w:val="020B0502040504020204"/>
    <w:charset w:val="00"/>
    <w:family w:val="auto"/>
    <w:pitch w:val="default"/>
    <w:sig w:usb0="80018023" w:usb1="00002042" w:usb2="00000000" w:usb3="00000000" w:csb0="00000001" w:csb1="00000000"/>
  </w:font>
  <w:font w:name="仿宋_GB2312">
    <w:altName w:val="方正仿宋_GBK"/>
    <w:panose1 w:val="02010609030101010101"/>
    <w:charset w:val="00"/>
    <w:family w:val="modern"/>
    <w:pitch w:val="default"/>
    <w:sig w:usb0="00000000" w:usb1="00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U5YTJlNzE3MzI0YWUwNjQ4NGZlMTc1MmE2NmNkZjkifQ=="/>
  </w:docVars>
  <w:rsids>
    <w:rsidRoot w:val="0C2F7BCE"/>
    <w:rsid w:val="000221F8"/>
    <w:rsid w:val="00326AAD"/>
    <w:rsid w:val="00A055E2"/>
    <w:rsid w:val="00AA2E1E"/>
    <w:rsid w:val="00D50BD9"/>
    <w:rsid w:val="00E86FF0"/>
    <w:rsid w:val="0C2F7BCE"/>
    <w:rsid w:val="13BE71DA"/>
    <w:rsid w:val="173C0FBE"/>
    <w:rsid w:val="17440CF9"/>
    <w:rsid w:val="17FECBBF"/>
    <w:rsid w:val="19896E7F"/>
    <w:rsid w:val="216A5C29"/>
    <w:rsid w:val="33EA8656"/>
    <w:rsid w:val="34C957E7"/>
    <w:rsid w:val="3871765B"/>
    <w:rsid w:val="39E7ADB4"/>
    <w:rsid w:val="3DC22C57"/>
    <w:rsid w:val="3DFEB510"/>
    <w:rsid w:val="3F3F002C"/>
    <w:rsid w:val="3FDFEA4A"/>
    <w:rsid w:val="3FEE84BE"/>
    <w:rsid w:val="42621EFB"/>
    <w:rsid w:val="45846DB5"/>
    <w:rsid w:val="47205AC6"/>
    <w:rsid w:val="4BFF5FFA"/>
    <w:rsid w:val="4D21275B"/>
    <w:rsid w:val="5CEEE9F1"/>
    <w:rsid w:val="5D7F5FDF"/>
    <w:rsid w:val="5FFB48EC"/>
    <w:rsid w:val="603F5015"/>
    <w:rsid w:val="6A647868"/>
    <w:rsid w:val="6A747D08"/>
    <w:rsid w:val="6D116461"/>
    <w:rsid w:val="6D1A42CD"/>
    <w:rsid w:val="6EFDBE7A"/>
    <w:rsid w:val="6EFE945E"/>
    <w:rsid w:val="6F6D8FA8"/>
    <w:rsid w:val="77CF8522"/>
    <w:rsid w:val="7B865DB3"/>
    <w:rsid w:val="7EFFEFF3"/>
    <w:rsid w:val="7F69287E"/>
    <w:rsid w:val="7FAB6FFC"/>
    <w:rsid w:val="7FBEAC28"/>
    <w:rsid w:val="9BF5F6D3"/>
    <w:rsid w:val="B16F3E46"/>
    <w:rsid w:val="ECF6BDAF"/>
    <w:rsid w:val="EEF72B96"/>
    <w:rsid w:val="F9199AB9"/>
    <w:rsid w:val="FACFC5F0"/>
    <w:rsid w:val="FCAB48FC"/>
    <w:rsid w:val="FEEEE636"/>
    <w:rsid w:val="FEFA709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styleId="7">
    <w:name w:val="Hyperlink"/>
    <w:basedOn w:val="6"/>
    <w:uiPriority w:val="0"/>
    <w:rPr>
      <w:color w:val="0000FF"/>
      <w:u w:val="single"/>
    </w:rPr>
  </w:style>
  <w:style w:type="character" w:customStyle="1" w:styleId="8">
    <w:name w:val="Footer Char"/>
    <w:basedOn w:val="6"/>
    <w:link w:val="2"/>
    <w:semiHidden/>
    <w:qFormat/>
    <w:uiPriority w:val="99"/>
    <w:rPr>
      <w:rFonts w:ascii="Calibri" w:hAnsi="Calibri" w:cs="Calibri"/>
      <w:sz w:val="18"/>
      <w:szCs w:val="18"/>
    </w:rPr>
  </w:style>
  <w:style w:type="character" w:customStyle="1" w:styleId="9">
    <w:name w:val="Header Char"/>
    <w:basedOn w:val="6"/>
    <w:link w:val="3"/>
    <w:semiHidden/>
    <w:qFormat/>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微软公司</Company>
  <Pages>7</Pages>
  <Words>487</Words>
  <Characters>2780</Characters>
  <Lines>0</Lines>
  <Paragraphs>0</Paragraphs>
  <TotalTime>0</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2022-05-11T18:00:00Z</dcterms:created>
  <dc:creator>Administrator</dc:creator>
  <cp:lastModifiedBy>user</cp:lastModifiedBy>
  <dcterms:modified xsi:type="dcterms:W3CDTF">2026-01-19T08:59:59Z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4FA13B53328E4810B75F03BD45233063</vt:lpwstr>
  </property>
</Properties>
</file>