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4228A">
      <w:pPr>
        <w:pStyle w:val="2"/>
        <w:keepNext w:val="0"/>
        <w:keepLines w:val="0"/>
        <w:pageBreakBefore w:val="0"/>
        <w:widowControl w:val="0"/>
        <w:numPr>
          <w:ilvl w:val="0"/>
          <w:numId w:val="0"/>
        </w:numPr>
        <w:kinsoku/>
        <w:wordWrap/>
        <w:overflowPunct/>
        <w:topLinePunct w:val="0"/>
        <w:autoSpaceDE/>
        <w:autoSpaceDN/>
        <w:bidi w:val="0"/>
        <w:adjustRightInd/>
        <w:snapToGrid w:val="0"/>
        <w:spacing w:before="312" w:after="0" w:afterLines="0"/>
        <w:jc w:val="center"/>
        <w:textAlignment w:val="auto"/>
        <w:rPr>
          <w:rFonts w:hint="eastAsia"/>
          <w:lang w:val="en-US" w:eastAsia="zh-CN"/>
        </w:rPr>
      </w:pPr>
      <w:bookmarkStart w:id="0" w:name="_GoBack"/>
      <w:bookmarkEnd w:id="0"/>
      <w:r>
        <w:rPr>
          <w:rFonts w:hint="eastAsia"/>
          <w:lang w:val="en-US" w:eastAsia="zh-CN"/>
        </w:rPr>
        <w:drawing>
          <wp:inline distT="0" distB="0" distL="114300" distR="114300">
            <wp:extent cx="11862435" cy="8394065"/>
            <wp:effectExtent l="0" t="0" r="12065" b="635"/>
            <wp:docPr id="5" name="图片 5" descr="村域综合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村域综合规划图"/>
                    <pic:cNvPicPr>
                      <a:picLocks noChangeAspect="1"/>
                    </pic:cNvPicPr>
                  </pic:nvPicPr>
                  <pic:blipFill>
                    <a:blip r:embed="rId6"/>
                    <a:stretch>
                      <a:fillRect/>
                    </a:stretch>
                  </pic:blipFill>
                  <pic:spPr>
                    <a:xfrm>
                      <a:off x="0" y="0"/>
                      <a:ext cx="11862435" cy="8394065"/>
                    </a:xfrm>
                    <a:prstGeom prst="rect">
                      <a:avLst/>
                    </a:prstGeom>
                  </pic:spPr>
                </pic:pic>
              </a:graphicData>
            </a:graphic>
          </wp:inline>
        </w:drawing>
      </w:r>
      <w:r>
        <w:rPr>
          <w:rFonts w:hint="eastAsia"/>
          <w:lang w:val="en-US" w:eastAsia="zh-CN"/>
        </w:rPr>
        <w:drawing>
          <wp:inline distT="0" distB="0" distL="114300" distR="114300">
            <wp:extent cx="11871325" cy="8400415"/>
            <wp:effectExtent l="0" t="0" r="3175" b="6985"/>
            <wp:docPr id="3" name="图片 3" descr="I:/022-安溪县湖头镇国土空间总体规划/017-村庄规划修编/004-高山村/003-规划修编成果/图集/003-农村居民点规划布局图.jpg003-农村居民点规划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022-安溪县湖头镇国土空间总体规划/017-村庄规划修编/004-高山村/003-规划修编成果/图集/003-农村居民点规划布局图.jpg003-农村居民点规划布局图"/>
                    <pic:cNvPicPr>
                      <a:picLocks noChangeAspect="1"/>
                    </pic:cNvPicPr>
                  </pic:nvPicPr>
                  <pic:blipFill>
                    <a:blip r:embed="rId7"/>
                    <a:srcRect l="4" r="4"/>
                    <a:stretch>
                      <a:fillRect/>
                    </a:stretch>
                  </pic:blipFill>
                  <pic:spPr>
                    <a:xfrm>
                      <a:off x="0" y="0"/>
                      <a:ext cx="11871325" cy="8400415"/>
                    </a:xfrm>
                    <a:prstGeom prst="rect">
                      <a:avLst/>
                    </a:prstGeom>
                  </pic:spPr>
                </pic:pic>
              </a:graphicData>
            </a:graphic>
          </wp:inline>
        </w:drawing>
      </w:r>
      <w:r>
        <w:rPr>
          <w:rFonts w:hint="eastAsia"/>
          <w:lang w:val="en-US" w:eastAsia="zh-CN"/>
        </w:rPr>
        <w:drawing>
          <wp:inline distT="0" distB="0" distL="114300" distR="114300">
            <wp:extent cx="11871325" cy="8400415"/>
            <wp:effectExtent l="0" t="0" r="3175" b="6985"/>
            <wp:docPr id="4" name="图片 4" descr="I:/022-安溪县湖头镇国土空间总体规划/017-村庄规划修编/004-高山村/003-规划修编成果/图集/004-农村居民点总平面图.jpg004-农村居民点总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022-安溪县湖头镇国土空间总体规划/017-村庄规划修编/004-高山村/003-规划修编成果/图集/004-农村居民点总平面图.jpg004-农村居民点总平面图"/>
                    <pic:cNvPicPr>
                      <a:picLocks noChangeAspect="1"/>
                    </pic:cNvPicPr>
                  </pic:nvPicPr>
                  <pic:blipFill>
                    <a:blip r:embed="rId8"/>
                    <a:srcRect l="4" r="4"/>
                    <a:stretch>
                      <a:fillRect/>
                    </a:stretch>
                  </pic:blipFill>
                  <pic:spPr>
                    <a:xfrm>
                      <a:off x="0" y="0"/>
                      <a:ext cx="11871325" cy="8400415"/>
                    </a:xfrm>
                    <a:prstGeom prst="rect">
                      <a:avLst/>
                    </a:prstGeom>
                  </pic:spPr>
                </pic:pic>
              </a:graphicData>
            </a:graphic>
          </wp:inline>
        </w:drawing>
      </w:r>
    </w:p>
    <w:p w14:paraId="5810BF90">
      <w:pPr>
        <w:pStyle w:val="2"/>
        <w:keepNext w:val="0"/>
        <w:keepLines w:val="0"/>
        <w:pageBreakBefore w:val="0"/>
        <w:widowControl w:val="0"/>
        <w:numPr>
          <w:ilvl w:val="0"/>
          <w:numId w:val="0"/>
        </w:numPr>
        <w:kinsoku/>
        <w:wordWrap/>
        <w:overflowPunct/>
        <w:topLinePunct w:val="0"/>
        <w:autoSpaceDE/>
        <w:autoSpaceDN/>
        <w:bidi w:val="0"/>
        <w:adjustRightInd/>
        <w:snapToGrid w:val="0"/>
        <w:spacing w:before="312" w:after="0" w:afterLines="0"/>
        <w:jc w:val="both"/>
        <w:textAlignment w:val="auto"/>
      </w:pPr>
      <w:r>
        <w:rPr>
          <w:rFonts w:hint="eastAsia"/>
          <w:lang w:val="en-US" w:eastAsia="zh-CN"/>
        </w:rPr>
        <w:t>附件：高</w:t>
      </w:r>
      <w:r>
        <w:rPr>
          <w:rFonts w:hint="eastAsia"/>
          <w:lang w:eastAsia="zh-CN"/>
        </w:rPr>
        <w:t>山</w:t>
      </w:r>
      <w:r>
        <w:rPr>
          <w:rFonts w:hint="eastAsia"/>
        </w:rPr>
        <w:t>村规划指标表</w:t>
      </w:r>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1418"/>
        <w:gridCol w:w="5337"/>
        <w:gridCol w:w="2857"/>
        <w:gridCol w:w="2641"/>
        <w:gridCol w:w="3106"/>
        <w:gridCol w:w="3199"/>
      </w:tblGrid>
      <w:tr w14:paraId="59F8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11" w:type="pct"/>
            <w:shd w:val="clear" w:color="auto" w:fill="auto"/>
            <w:tcMar>
              <w:top w:w="57" w:type="dxa"/>
              <w:bottom w:w="57" w:type="dxa"/>
            </w:tcMar>
            <w:vAlign w:val="center"/>
          </w:tcPr>
          <w:p w14:paraId="49A4A447">
            <w:pPr>
              <w:pStyle w:val="6"/>
              <w:jc w:val="center"/>
              <w:rPr>
                <w:rFonts w:hint="default" w:eastAsia="宋体"/>
                <w:b/>
                <w:bCs w:val="0"/>
                <w:color w:val="000000"/>
                <w:sz w:val="28"/>
                <w:szCs w:val="28"/>
                <w:lang w:val="en-US" w:eastAsia="zh-CN"/>
              </w:rPr>
            </w:pPr>
            <w:r>
              <w:rPr>
                <w:rFonts w:hint="eastAsia"/>
                <w:b/>
                <w:bCs w:val="0"/>
                <w:color w:val="000000"/>
                <w:sz w:val="28"/>
                <w:szCs w:val="28"/>
                <w:lang w:val="en-US" w:eastAsia="zh-CN"/>
              </w:rPr>
              <w:t>指标类型</w:t>
            </w:r>
          </w:p>
        </w:tc>
        <w:tc>
          <w:tcPr>
            <w:tcW w:w="335" w:type="pct"/>
            <w:shd w:val="clear" w:color="auto" w:fill="auto"/>
            <w:tcMar>
              <w:top w:w="57" w:type="dxa"/>
              <w:bottom w:w="57" w:type="dxa"/>
            </w:tcMar>
            <w:vAlign w:val="center"/>
          </w:tcPr>
          <w:p w14:paraId="3115FF10">
            <w:pPr>
              <w:pStyle w:val="6"/>
              <w:jc w:val="center"/>
              <w:rPr>
                <w:rFonts w:hint="default"/>
                <w:b/>
                <w:bCs w:val="0"/>
                <w:color w:val="000000"/>
                <w:sz w:val="28"/>
                <w:szCs w:val="28"/>
              </w:rPr>
            </w:pPr>
            <w:r>
              <w:rPr>
                <w:b/>
                <w:bCs w:val="0"/>
                <w:color w:val="000000"/>
                <w:sz w:val="28"/>
                <w:szCs w:val="28"/>
              </w:rPr>
              <w:t>序号</w:t>
            </w:r>
          </w:p>
        </w:tc>
        <w:tc>
          <w:tcPr>
            <w:tcW w:w="1261" w:type="pct"/>
            <w:shd w:val="clear" w:color="auto" w:fill="auto"/>
            <w:tcMar>
              <w:top w:w="57" w:type="dxa"/>
              <w:bottom w:w="57" w:type="dxa"/>
            </w:tcMar>
            <w:vAlign w:val="center"/>
          </w:tcPr>
          <w:p w14:paraId="5B3596BA">
            <w:pPr>
              <w:pStyle w:val="6"/>
              <w:jc w:val="center"/>
              <w:rPr>
                <w:rFonts w:hint="default"/>
                <w:b/>
                <w:bCs w:val="0"/>
                <w:color w:val="000000"/>
                <w:sz w:val="28"/>
                <w:szCs w:val="28"/>
              </w:rPr>
            </w:pPr>
            <w:r>
              <w:rPr>
                <w:b/>
                <w:bCs w:val="0"/>
                <w:color w:val="000000"/>
                <w:sz w:val="28"/>
                <w:szCs w:val="28"/>
              </w:rPr>
              <w:t>指标</w:t>
            </w:r>
          </w:p>
        </w:tc>
        <w:tc>
          <w:tcPr>
            <w:tcW w:w="675" w:type="pct"/>
            <w:shd w:val="clear" w:color="auto" w:fill="auto"/>
            <w:tcMar>
              <w:top w:w="57" w:type="dxa"/>
              <w:bottom w:w="57" w:type="dxa"/>
            </w:tcMar>
            <w:vAlign w:val="center"/>
          </w:tcPr>
          <w:p w14:paraId="597EF0F8">
            <w:pPr>
              <w:pStyle w:val="6"/>
              <w:jc w:val="center"/>
              <w:rPr>
                <w:rFonts w:hint="default"/>
                <w:b/>
                <w:bCs w:val="0"/>
                <w:color w:val="000000"/>
                <w:sz w:val="28"/>
                <w:szCs w:val="28"/>
              </w:rPr>
            </w:pPr>
            <w:r>
              <w:rPr>
                <w:b/>
                <w:bCs w:val="0"/>
                <w:color w:val="000000"/>
                <w:sz w:val="28"/>
                <w:szCs w:val="28"/>
              </w:rPr>
              <w:t>属性</w:t>
            </w:r>
          </w:p>
        </w:tc>
        <w:tc>
          <w:tcPr>
            <w:tcW w:w="624" w:type="pct"/>
            <w:shd w:val="clear" w:color="auto" w:fill="auto"/>
            <w:tcMar>
              <w:top w:w="57" w:type="dxa"/>
              <w:bottom w:w="57" w:type="dxa"/>
            </w:tcMar>
            <w:vAlign w:val="center"/>
          </w:tcPr>
          <w:p w14:paraId="13EF5D42">
            <w:pPr>
              <w:pStyle w:val="6"/>
              <w:jc w:val="center"/>
              <w:rPr>
                <w:rFonts w:hint="default"/>
                <w:b/>
                <w:bCs w:val="0"/>
                <w:color w:val="000000"/>
                <w:sz w:val="28"/>
                <w:szCs w:val="28"/>
              </w:rPr>
            </w:pPr>
            <w:r>
              <w:rPr>
                <w:b/>
                <w:bCs w:val="0"/>
                <w:color w:val="000000"/>
                <w:sz w:val="28"/>
                <w:szCs w:val="28"/>
              </w:rPr>
              <w:t>单位</w:t>
            </w:r>
          </w:p>
        </w:tc>
        <w:tc>
          <w:tcPr>
            <w:tcW w:w="734" w:type="pct"/>
            <w:shd w:val="clear" w:color="auto" w:fill="auto"/>
            <w:tcMar>
              <w:top w:w="57" w:type="dxa"/>
              <w:bottom w:w="57" w:type="dxa"/>
            </w:tcMar>
            <w:vAlign w:val="center"/>
          </w:tcPr>
          <w:p w14:paraId="774501F4">
            <w:pPr>
              <w:pStyle w:val="6"/>
              <w:jc w:val="center"/>
              <w:rPr>
                <w:rFonts w:hint="default"/>
                <w:b/>
                <w:bCs w:val="0"/>
                <w:color w:val="000000"/>
                <w:sz w:val="28"/>
                <w:szCs w:val="28"/>
              </w:rPr>
            </w:pPr>
            <w:r>
              <w:rPr>
                <w:b/>
                <w:bCs w:val="0"/>
                <w:color w:val="000000"/>
                <w:sz w:val="28"/>
                <w:szCs w:val="28"/>
              </w:rPr>
              <w:t>现状基期年</w:t>
            </w:r>
          </w:p>
        </w:tc>
        <w:tc>
          <w:tcPr>
            <w:tcW w:w="756" w:type="pct"/>
            <w:shd w:val="clear" w:color="auto" w:fill="auto"/>
            <w:tcMar>
              <w:top w:w="57" w:type="dxa"/>
              <w:bottom w:w="57" w:type="dxa"/>
            </w:tcMar>
            <w:vAlign w:val="center"/>
          </w:tcPr>
          <w:p w14:paraId="4A102467">
            <w:pPr>
              <w:pStyle w:val="6"/>
              <w:jc w:val="center"/>
              <w:rPr>
                <w:rFonts w:hint="default"/>
                <w:b/>
                <w:bCs w:val="0"/>
                <w:color w:val="000000"/>
                <w:sz w:val="28"/>
                <w:szCs w:val="28"/>
              </w:rPr>
            </w:pPr>
            <w:r>
              <w:rPr>
                <w:b/>
                <w:bCs w:val="0"/>
                <w:color w:val="000000"/>
                <w:sz w:val="28"/>
                <w:szCs w:val="28"/>
              </w:rPr>
              <w:t>规划目标年</w:t>
            </w:r>
          </w:p>
        </w:tc>
      </w:tr>
      <w:tr w14:paraId="53AD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1" w:type="pct"/>
            <w:vMerge w:val="restart"/>
            <w:shd w:val="clear" w:color="auto" w:fill="auto"/>
            <w:tcMar>
              <w:top w:w="57" w:type="dxa"/>
              <w:bottom w:w="57" w:type="dxa"/>
            </w:tcMar>
            <w:vAlign w:val="center"/>
          </w:tcPr>
          <w:p w14:paraId="21E28E19">
            <w:pPr>
              <w:pStyle w:val="6"/>
              <w:jc w:val="center"/>
              <w:rPr>
                <w:rFonts w:hint="default"/>
                <w:b w:val="0"/>
                <w:bCs w:val="0"/>
                <w:color w:val="000000"/>
                <w:sz w:val="28"/>
                <w:szCs w:val="28"/>
              </w:rPr>
            </w:pPr>
            <w:r>
              <w:rPr>
                <w:b w:val="0"/>
                <w:bCs/>
                <w:color w:val="000000"/>
                <w:sz w:val="28"/>
                <w:szCs w:val="28"/>
              </w:rPr>
              <w:t>村庄发展性指标</w:t>
            </w:r>
          </w:p>
        </w:tc>
        <w:tc>
          <w:tcPr>
            <w:tcW w:w="335" w:type="pct"/>
            <w:shd w:val="clear" w:color="auto" w:fill="auto"/>
            <w:tcMar>
              <w:top w:w="57" w:type="dxa"/>
              <w:bottom w:w="57" w:type="dxa"/>
            </w:tcMar>
            <w:vAlign w:val="center"/>
          </w:tcPr>
          <w:p w14:paraId="6F0E720A">
            <w:pPr>
              <w:ind w:left="0" w:leftChars="0" w:firstLine="0" w:firstLineChars="0"/>
              <w:jc w:val="center"/>
              <w:rPr>
                <w:rFonts w:hint="default"/>
                <w:lang w:val="en-US" w:eastAsia="zh-CN"/>
              </w:rPr>
            </w:pPr>
            <w:r>
              <w:rPr>
                <w:rFonts w:hint="eastAsia"/>
                <w:lang w:val="en-US" w:eastAsia="zh-CN"/>
              </w:rPr>
              <w:t>1</w:t>
            </w:r>
          </w:p>
        </w:tc>
        <w:tc>
          <w:tcPr>
            <w:tcW w:w="1261" w:type="pct"/>
            <w:shd w:val="clear" w:color="auto" w:fill="auto"/>
            <w:tcMar>
              <w:top w:w="57" w:type="dxa"/>
              <w:bottom w:w="57" w:type="dxa"/>
            </w:tcMar>
            <w:vAlign w:val="center"/>
          </w:tcPr>
          <w:p w14:paraId="76B9D9D2">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村域建设用地总面积</w:t>
            </w:r>
          </w:p>
        </w:tc>
        <w:tc>
          <w:tcPr>
            <w:tcW w:w="675" w:type="pct"/>
            <w:shd w:val="clear" w:color="auto" w:fill="auto"/>
            <w:tcMar>
              <w:top w:w="57" w:type="dxa"/>
              <w:bottom w:w="57" w:type="dxa"/>
            </w:tcMar>
            <w:vAlign w:val="center"/>
          </w:tcPr>
          <w:p w14:paraId="07E66FFF">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约束性</w:t>
            </w:r>
          </w:p>
        </w:tc>
        <w:tc>
          <w:tcPr>
            <w:tcW w:w="624" w:type="pct"/>
            <w:shd w:val="clear" w:color="auto" w:fill="auto"/>
            <w:tcMar>
              <w:top w:w="57" w:type="dxa"/>
              <w:bottom w:w="57" w:type="dxa"/>
            </w:tcMar>
            <w:vAlign w:val="center"/>
          </w:tcPr>
          <w:p w14:paraId="0F703753">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公顷</w:t>
            </w:r>
          </w:p>
        </w:tc>
        <w:tc>
          <w:tcPr>
            <w:tcW w:w="734" w:type="pct"/>
            <w:shd w:val="clear" w:color="auto" w:fill="auto"/>
            <w:tcMar>
              <w:top w:w="57" w:type="dxa"/>
              <w:bottom w:w="57" w:type="dxa"/>
            </w:tcMar>
            <w:vAlign w:val="center"/>
          </w:tcPr>
          <w:p w14:paraId="0B7E6C17">
            <w:pPr>
              <w:ind w:left="0" w:leftChars="0" w:firstLine="0" w:firstLineChars="0"/>
              <w:jc w:val="center"/>
              <w:rPr>
                <w:rFonts w:hint="default"/>
                <w:sz w:val="28"/>
                <w:szCs w:val="24"/>
                <w:lang w:val="en-US" w:eastAsia="zh-CN"/>
              </w:rPr>
            </w:pPr>
            <w:r>
              <w:rPr>
                <w:rFonts w:hint="eastAsia"/>
                <w:sz w:val="28"/>
                <w:szCs w:val="24"/>
                <w:lang w:val="en-US" w:eastAsia="zh-CN"/>
              </w:rPr>
              <w:t>43.72</w:t>
            </w:r>
          </w:p>
        </w:tc>
        <w:tc>
          <w:tcPr>
            <w:tcW w:w="756" w:type="pct"/>
            <w:shd w:val="clear" w:color="auto" w:fill="auto"/>
            <w:tcMar>
              <w:top w:w="57" w:type="dxa"/>
              <w:bottom w:w="57" w:type="dxa"/>
            </w:tcMar>
            <w:vAlign w:val="center"/>
          </w:tcPr>
          <w:p w14:paraId="126F7258">
            <w:pPr>
              <w:ind w:left="0" w:leftChars="0" w:firstLine="0" w:firstLineChars="0"/>
              <w:jc w:val="center"/>
              <w:rPr>
                <w:rFonts w:hint="default"/>
                <w:sz w:val="28"/>
                <w:szCs w:val="24"/>
                <w:lang w:val="en-US" w:eastAsia="zh-CN"/>
              </w:rPr>
            </w:pPr>
            <w:r>
              <w:rPr>
                <w:rFonts w:hint="eastAsia"/>
                <w:sz w:val="28"/>
                <w:szCs w:val="24"/>
                <w:lang w:val="en-US" w:eastAsia="zh-CN"/>
              </w:rPr>
              <w:t>≤65.2</w:t>
            </w:r>
          </w:p>
        </w:tc>
      </w:tr>
      <w:tr w14:paraId="333E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1" w:type="pct"/>
            <w:vMerge w:val="continue"/>
            <w:shd w:val="clear" w:color="auto" w:fill="auto"/>
            <w:tcMar>
              <w:top w:w="57" w:type="dxa"/>
              <w:bottom w:w="57" w:type="dxa"/>
            </w:tcMar>
            <w:vAlign w:val="center"/>
          </w:tcPr>
          <w:p w14:paraId="5C07BC12">
            <w:pPr>
              <w:pStyle w:val="6"/>
              <w:jc w:val="center"/>
              <w:rPr>
                <w:rFonts w:hint="default"/>
                <w:b w:val="0"/>
                <w:bCs w:val="0"/>
                <w:color w:val="000000"/>
                <w:sz w:val="28"/>
                <w:szCs w:val="28"/>
              </w:rPr>
            </w:pPr>
          </w:p>
        </w:tc>
        <w:tc>
          <w:tcPr>
            <w:tcW w:w="335" w:type="pct"/>
            <w:shd w:val="clear" w:color="auto" w:fill="auto"/>
            <w:tcMar>
              <w:top w:w="57" w:type="dxa"/>
              <w:bottom w:w="57" w:type="dxa"/>
            </w:tcMar>
            <w:vAlign w:val="center"/>
          </w:tcPr>
          <w:p w14:paraId="5B1B42EC">
            <w:pPr>
              <w:ind w:left="0" w:leftChars="0" w:firstLine="0" w:firstLineChars="0"/>
              <w:jc w:val="center"/>
              <w:rPr>
                <w:rFonts w:hint="default"/>
                <w:lang w:val="en-US" w:eastAsia="zh-CN"/>
              </w:rPr>
            </w:pPr>
            <w:r>
              <w:rPr>
                <w:rFonts w:hint="eastAsia"/>
                <w:lang w:val="en-US" w:eastAsia="zh-CN"/>
              </w:rPr>
              <w:t>2</w:t>
            </w:r>
          </w:p>
        </w:tc>
        <w:tc>
          <w:tcPr>
            <w:tcW w:w="1261" w:type="pct"/>
            <w:shd w:val="clear" w:color="auto" w:fill="auto"/>
            <w:tcMar>
              <w:top w:w="57" w:type="dxa"/>
              <w:bottom w:w="57" w:type="dxa"/>
            </w:tcMar>
            <w:vAlign w:val="center"/>
          </w:tcPr>
          <w:p w14:paraId="309E2BC6">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村域城乡建设用地面积</w:t>
            </w:r>
          </w:p>
        </w:tc>
        <w:tc>
          <w:tcPr>
            <w:tcW w:w="675" w:type="pct"/>
            <w:shd w:val="clear" w:color="auto" w:fill="auto"/>
            <w:tcMar>
              <w:top w:w="57" w:type="dxa"/>
              <w:bottom w:w="57" w:type="dxa"/>
            </w:tcMar>
            <w:vAlign w:val="center"/>
          </w:tcPr>
          <w:p w14:paraId="097B6A3D">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约束性</w:t>
            </w:r>
          </w:p>
        </w:tc>
        <w:tc>
          <w:tcPr>
            <w:tcW w:w="624" w:type="pct"/>
            <w:shd w:val="clear" w:color="auto" w:fill="auto"/>
            <w:tcMar>
              <w:top w:w="57" w:type="dxa"/>
              <w:bottom w:w="57" w:type="dxa"/>
            </w:tcMar>
            <w:vAlign w:val="center"/>
          </w:tcPr>
          <w:p w14:paraId="7DC25087">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公顷</w:t>
            </w:r>
          </w:p>
        </w:tc>
        <w:tc>
          <w:tcPr>
            <w:tcW w:w="734" w:type="pct"/>
            <w:shd w:val="clear" w:color="auto" w:fill="auto"/>
            <w:tcMar>
              <w:top w:w="57" w:type="dxa"/>
              <w:bottom w:w="57" w:type="dxa"/>
            </w:tcMar>
            <w:vAlign w:val="center"/>
          </w:tcPr>
          <w:p w14:paraId="7B317EBC">
            <w:pPr>
              <w:ind w:left="0" w:leftChars="0" w:firstLine="0" w:firstLineChars="0"/>
              <w:jc w:val="center"/>
              <w:rPr>
                <w:rFonts w:hint="default"/>
                <w:sz w:val="28"/>
                <w:szCs w:val="24"/>
                <w:lang w:val="en-US" w:eastAsia="zh-CN"/>
              </w:rPr>
            </w:pPr>
            <w:r>
              <w:rPr>
                <w:rFonts w:hint="eastAsia"/>
                <w:sz w:val="28"/>
                <w:szCs w:val="24"/>
                <w:lang w:val="en-US" w:eastAsia="zh-CN"/>
              </w:rPr>
              <w:t>39.14</w:t>
            </w:r>
          </w:p>
        </w:tc>
        <w:tc>
          <w:tcPr>
            <w:tcW w:w="756" w:type="pct"/>
            <w:shd w:val="clear" w:color="auto" w:fill="auto"/>
            <w:tcMar>
              <w:top w:w="57" w:type="dxa"/>
              <w:bottom w:w="57" w:type="dxa"/>
            </w:tcMar>
            <w:vAlign w:val="center"/>
          </w:tcPr>
          <w:p w14:paraId="559E8735">
            <w:pPr>
              <w:ind w:left="0" w:leftChars="0" w:firstLine="0" w:firstLineChars="0"/>
              <w:jc w:val="center"/>
              <w:rPr>
                <w:rFonts w:hint="default"/>
                <w:sz w:val="28"/>
                <w:szCs w:val="24"/>
                <w:lang w:val="en-US" w:eastAsia="zh-CN"/>
              </w:rPr>
            </w:pPr>
            <w:r>
              <w:rPr>
                <w:rFonts w:hint="eastAsia"/>
                <w:sz w:val="28"/>
                <w:szCs w:val="24"/>
                <w:lang w:val="en-US" w:eastAsia="zh-CN"/>
              </w:rPr>
              <w:t>≤62.61</w:t>
            </w:r>
          </w:p>
        </w:tc>
      </w:tr>
      <w:tr w14:paraId="05FF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1" w:type="pct"/>
            <w:vMerge w:val="continue"/>
            <w:shd w:val="clear" w:color="auto" w:fill="auto"/>
            <w:tcMar>
              <w:top w:w="57" w:type="dxa"/>
              <w:bottom w:w="57" w:type="dxa"/>
            </w:tcMar>
            <w:vAlign w:val="center"/>
          </w:tcPr>
          <w:p w14:paraId="214412F5">
            <w:pPr>
              <w:pStyle w:val="6"/>
              <w:jc w:val="center"/>
              <w:rPr>
                <w:rFonts w:hint="default"/>
                <w:b w:val="0"/>
                <w:bCs w:val="0"/>
                <w:color w:val="000000"/>
                <w:sz w:val="28"/>
                <w:szCs w:val="28"/>
              </w:rPr>
            </w:pPr>
          </w:p>
        </w:tc>
        <w:tc>
          <w:tcPr>
            <w:tcW w:w="335" w:type="pct"/>
            <w:shd w:val="clear" w:color="auto" w:fill="auto"/>
            <w:tcMar>
              <w:top w:w="57" w:type="dxa"/>
              <w:bottom w:w="57" w:type="dxa"/>
            </w:tcMar>
            <w:vAlign w:val="center"/>
          </w:tcPr>
          <w:p w14:paraId="44563DA9">
            <w:pPr>
              <w:ind w:left="0" w:leftChars="0" w:firstLine="0" w:firstLineChars="0"/>
              <w:jc w:val="center"/>
              <w:rPr>
                <w:rFonts w:hint="default"/>
                <w:lang w:val="en-US" w:eastAsia="zh-CN"/>
              </w:rPr>
            </w:pPr>
            <w:r>
              <w:rPr>
                <w:rFonts w:hint="eastAsia"/>
                <w:lang w:val="en-US" w:eastAsia="zh-CN"/>
              </w:rPr>
              <w:t>3</w:t>
            </w:r>
          </w:p>
        </w:tc>
        <w:tc>
          <w:tcPr>
            <w:tcW w:w="1261" w:type="pct"/>
            <w:shd w:val="clear" w:color="auto" w:fill="auto"/>
            <w:tcMar>
              <w:top w:w="57" w:type="dxa"/>
              <w:bottom w:w="57" w:type="dxa"/>
            </w:tcMar>
            <w:vAlign w:val="center"/>
          </w:tcPr>
          <w:p w14:paraId="7B4C035C">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村庄建设用地规模</w:t>
            </w:r>
          </w:p>
        </w:tc>
        <w:tc>
          <w:tcPr>
            <w:tcW w:w="675" w:type="pct"/>
            <w:shd w:val="clear" w:color="auto" w:fill="auto"/>
            <w:tcMar>
              <w:top w:w="57" w:type="dxa"/>
              <w:bottom w:w="57" w:type="dxa"/>
            </w:tcMar>
            <w:vAlign w:val="center"/>
          </w:tcPr>
          <w:p w14:paraId="0B2D076F">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预期性</w:t>
            </w:r>
          </w:p>
        </w:tc>
        <w:tc>
          <w:tcPr>
            <w:tcW w:w="624" w:type="pct"/>
            <w:shd w:val="clear" w:color="auto" w:fill="auto"/>
            <w:tcMar>
              <w:top w:w="57" w:type="dxa"/>
              <w:bottom w:w="57" w:type="dxa"/>
            </w:tcMar>
            <w:vAlign w:val="center"/>
          </w:tcPr>
          <w:p w14:paraId="189F6BE9">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公顷</w:t>
            </w:r>
          </w:p>
        </w:tc>
        <w:tc>
          <w:tcPr>
            <w:tcW w:w="734" w:type="pct"/>
            <w:shd w:val="clear" w:color="auto" w:fill="auto"/>
            <w:tcMar>
              <w:top w:w="57" w:type="dxa"/>
              <w:bottom w:w="57" w:type="dxa"/>
            </w:tcMar>
            <w:vAlign w:val="center"/>
          </w:tcPr>
          <w:p w14:paraId="13DB4AEF">
            <w:pPr>
              <w:ind w:left="0" w:leftChars="0" w:firstLine="0" w:firstLineChars="0"/>
              <w:jc w:val="center"/>
              <w:rPr>
                <w:rFonts w:hint="default"/>
                <w:sz w:val="28"/>
                <w:szCs w:val="24"/>
                <w:lang w:val="en-US" w:eastAsia="zh-CN"/>
              </w:rPr>
            </w:pPr>
            <w:r>
              <w:rPr>
                <w:rFonts w:hint="eastAsia"/>
                <w:sz w:val="28"/>
                <w:szCs w:val="24"/>
                <w:lang w:val="en-US" w:eastAsia="zh-CN"/>
              </w:rPr>
              <w:t>29.25</w:t>
            </w:r>
          </w:p>
        </w:tc>
        <w:tc>
          <w:tcPr>
            <w:tcW w:w="756" w:type="pct"/>
            <w:shd w:val="clear" w:color="auto" w:fill="auto"/>
            <w:tcMar>
              <w:top w:w="57" w:type="dxa"/>
              <w:bottom w:w="57" w:type="dxa"/>
            </w:tcMar>
            <w:vAlign w:val="center"/>
          </w:tcPr>
          <w:p w14:paraId="3E86AD54">
            <w:pPr>
              <w:ind w:left="0" w:leftChars="0" w:firstLine="0" w:firstLineChars="0"/>
              <w:jc w:val="center"/>
              <w:rPr>
                <w:rFonts w:hint="default"/>
                <w:sz w:val="28"/>
                <w:szCs w:val="24"/>
                <w:lang w:val="en-US" w:eastAsia="zh-CN"/>
              </w:rPr>
            </w:pPr>
            <w:r>
              <w:rPr>
                <w:rFonts w:hint="eastAsia"/>
                <w:sz w:val="28"/>
                <w:szCs w:val="24"/>
                <w:lang w:val="en-US" w:eastAsia="zh-CN"/>
              </w:rPr>
              <w:t>≤31.92</w:t>
            </w:r>
          </w:p>
        </w:tc>
      </w:tr>
      <w:tr w14:paraId="5CC0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1" w:type="pct"/>
            <w:vMerge w:val="continue"/>
            <w:shd w:val="clear" w:color="auto" w:fill="auto"/>
            <w:tcMar>
              <w:top w:w="57" w:type="dxa"/>
              <w:bottom w:w="57" w:type="dxa"/>
            </w:tcMar>
            <w:vAlign w:val="center"/>
          </w:tcPr>
          <w:p w14:paraId="5528D554">
            <w:pPr>
              <w:pStyle w:val="6"/>
              <w:jc w:val="center"/>
              <w:rPr>
                <w:rFonts w:hint="default"/>
                <w:b w:val="0"/>
                <w:bCs w:val="0"/>
                <w:color w:val="000000"/>
                <w:sz w:val="28"/>
                <w:szCs w:val="28"/>
              </w:rPr>
            </w:pPr>
          </w:p>
        </w:tc>
        <w:tc>
          <w:tcPr>
            <w:tcW w:w="335" w:type="pct"/>
            <w:shd w:val="clear" w:color="auto" w:fill="auto"/>
            <w:tcMar>
              <w:top w:w="57" w:type="dxa"/>
              <w:bottom w:w="57" w:type="dxa"/>
            </w:tcMar>
            <w:vAlign w:val="center"/>
          </w:tcPr>
          <w:p w14:paraId="3BB90310">
            <w:pPr>
              <w:ind w:left="0" w:leftChars="0" w:firstLine="0" w:firstLineChars="0"/>
              <w:jc w:val="center"/>
              <w:rPr>
                <w:rFonts w:hint="default"/>
                <w:lang w:val="en-US" w:eastAsia="zh-CN"/>
              </w:rPr>
            </w:pPr>
            <w:r>
              <w:rPr>
                <w:rFonts w:hint="eastAsia"/>
                <w:lang w:val="en-US" w:eastAsia="zh-CN"/>
              </w:rPr>
              <w:t>4</w:t>
            </w:r>
          </w:p>
        </w:tc>
        <w:tc>
          <w:tcPr>
            <w:tcW w:w="1261" w:type="pct"/>
            <w:shd w:val="clear" w:color="auto" w:fill="auto"/>
            <w:tcMar>
              <w:top w:w="57" w:type="dxa"/>
              <w:bottom w:w="57" w:type="dxa"/>
            </w:tcMar>
            <w:vAlign w:val="center"/>
          </w:tcPr>
          <w:p w14:paraId="1D1447E5">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公共管理与公共服务用地规模</w:t>
            </w:r>
          </w:p>
        </w:tc>
        <w:tc>
          <w:tcPr>
            <w:tcW w:w="675" w:type="pct"/>
            <w:shd w:val="clear" w:color="auto" w:fill="auto"/>
            <w:tcMar>
              <w:top w:w="57" w:type="dxa"/>
              <w:bottom w:w="57" w:type="dxa"/>
            </w:tcMar>
            <w:vAlign w:val="center"/>
          </w:tcPr>
          <w:p w14:paraId="539B917C">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预期性</w:t>
            </w:r>
          </w:p>
        </w:tc>
        <w:tc>
          <w:tcPr>
            <w:tcW w:w="624" w:type="pct"/>
            <w:shd w:val="clear" w:color="auto" w:fill="auto"/>
            <w:tcMar>
              <w:top w:w="57" w:type="dxa"/>
              <w:bottom w:w="57" w:type="dxa"/>
            </w:tcMar>
            <w:vAlign w:val="center"/>
          </w:tcPr>
          <w:p w14:paraId="26D2A111">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公顷</w:t>
            </w:r>
          </w:p>
        </w:tc>
        <w:tc>
          <w:tcPr>
            <w:tcW w:w="734" w:type="pct"/>
            <w:shd w:val="clear" w:color="auto" w:fill="auto"/>
            <w:tcMar>
              <w:top w:w="57" w:type="dxa"/>
              <w:bottom w:w="57" w:type="dxa"/>
            </w:tcMar>
            <w:vAlign w:val="center"/>
          </w:tcPr>
          <w:p w14:paraId="4EBAA701">
            <w:pPr>
              <w:ind w:left="0" w:leftChars="0" w:firstLine="0" w:firstLineChars="0"/>
              <w:jc w:val="center"/>
              <w:rPr>
                <w:rFonts w:hint="default"/>
                <w:sz w:val="28"/>
                <w:szCs w:val="24"/>
                <w:lang w:val="en-US" w:eastAsia="zh-CN"/>
              </w:rPr>
            </w:pPr>
            <w:r>
              <w:rPr>
                <w:rFonts w:hint="eastAsia"/>
                <w:sz w:val="28"/>
                <w:szCs w:val="24"/>
                <w:lang w:val="en-US" w:eastAsia="zh-CN"/>
              </w:rPr>
              <w:t>0.70</w:t>
            </w:r>
          </w:p>
        </w:tc>
        <w:tc>
          <w:tcPr>
            <w:tcW w:w="756" w:type="pct"/>
            <w:shd w:val="clear" w:color="auto" w:fill="auto"/>
            <w:tcMar>
              <w:top w:w="57" w:type="dxa"/>
              <w:bottom w:w="57" w:type="dxa"/>
            </w:tcMar>
            <w:vAlign w:val="center"/>
          </w:tcPr>
          <w:p w14:paraId="4F371612">
            <w:pPr>
              <w:ind w:left="0" w:leftChars="0" w:firstLine="0" w:firstLineChars="0"/>
              <w:jc w:val="center"/>
              <w:rPr>
                <w:rFonts w:hint="default"/>
                <w:sz w:val="28"/>
                <w:szCs w:val="24"/>
                <w:lang w:val="en-US" w:eastAsia="zh-CN"/>
              </w:rPr>
            </w:pPr>
            <w:r>
              <w:rPr>
                <w:rFonts w:hint="eastAsia"/>
                <w:sz w:val="28"/>
                <w:szCs w:val="24"/>
                <w:lang w:val="en-US" w:eastAsia="zh-CN"/>
              </w:rPr>
              <w:t>≤0.69</w:t>
            </w:r>
          </w:p>
        </w:tc>
      </w:tr>
      <w:tr w14:paraId="0A02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1" w:type="pct"/>
            <w:vMerge w:val="continue"/>
            <w:shd w:val="clear" w:color="auto" w:fill="auto"/>
            <w:tcMar>
              <w:top w:w="57" w:type="dxa"/>
              <w:bottom w:w="57" w:type="dxa"/>
            </w:tcMar>
            <w:vAlign w:val="center"/>
          </w:tcPr>
          <w:p w14:paraId="1FF2C454">
            <w:pPr>
              <w:pStyle w:val="6"/>
              <w:jc w:val="center"/>
              <w:rPr>
                <w:rFonts w:hint="default"/>
                <w:b w:val="0"/>
                <w:bCs w:val="0"/>
                <w:color w:val="000000"/>
                <w:sz w:val="28"/>
                <w:szCs w:val="28"/>
              </w:rPr>
            </w:pPr>
          </w:p>
        </w:tc>
        <w:tc>
          <w:tcPr>
            <w:tcW w:w="335" w:type="pct"/>
            <w:shd w:val="clear" w:color="auto" w:fill="auto"/>
            <w:tcMar>
              <w:top w:w="57" w:type="dxa"/>
              <w:bottom w:w="57" w:type="dxa"/>
            </w:tcMar>
            <w:vAlign w:val="center"/>
          </w:tcPr>
          <w:p w14:paraId="55C64A45">
            <w:pPr>
              <w:ind w:left="0" w:leftChars="0" w:firstLine="0" w:firstLineChars="0"/>
              <w:jc w:val="center"/>
              <w:rPr>
                <w:rFonts w:hint="default"/>
                <w:lang w:val="en-US" w:eastAsia="zh-CN"/>
              </w:rPr>
            </w:pPr>
            <w:r>
              <w:rPr>
                <w:rFonts w:hint="eastAsia"/>
                <w:lang w:val="en-US" w:eastAsia="zh-CN"/>
              </w:rPr>
              <w:t>5</w:t>
            </w:r>
          </w:p>
        </w:tc>
        <w:tc>
          <w:tcPr>
            <w:tcW w:w="1261" w:type="pct"/>
            <w:shd w:val="clear" w:color="auto" w:fill="auto"/>
            <w:tcMar>
              <w:top w:w="57" w:type="dxa"/>
              <w:bottom w:w="57" w:type="dxa"/>
            </w:tcMar>
            <w:vAlign w:val="center"/>
          </w:tcPr>
          <w:p w14:paraId="37D90195">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公用设施用地规模</w:t>
            </w:r>
          </w:p>
        </w:tc>
        <w:tc>
          <w:tcPr>
            <w:tcW w:w="675" w:type="pct"/>
            <w:shd w:val="clear" w:color="auto" w:fill="auto"/>
            <w:tcMar>
              <w:top w:w="57" w:type="dxa"/>
              <w:bottom w:w="57" w:type="dxa"/>
            </w:tcMar>
            <w:vAlign w:val="center"/>
          </w:tcPr>
          <w:p w14:paraId="2FC78B4E">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预期性</w:t>
            </w:r>
          </w:p>
        </w:tc>
        <w:tc>
          <w:tcPr>
            <w:tcW w:w="624" w:type="pct"/>
            <w:shd w:val="clear" w:color="auto" w:fill="auto"/>
            <w:tcMar>
              <w:top w:w="57" w:type="dxa"/>
              <w:bottom w:w="57" w:type="dxa"/>
            </w:tcMar>
            <w:vAlign w:val="center"/>
          </w:tcPr>
          <w:p w14:paraId="226ACFF5">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公顷</w:t>
            </w:r>
          </w:p>
        </w:tc>
        <w:tc>
          <w:tcPr>
            <w:tcW w:w="734" w:type="pct"/>
            <w:shd w:val="clear" w:color="auto" w:fill="auto"/>
            <w:tcMar>
              <w:top w:w="57" w:type="dxa"/>
              <w:bottom w:w="57" w:type="dxa"/>
            </w:tcMar>
            <w:vAlign w:val="center"/>
          </w:tcPr>
          <w:p w14:paraId="147DD2CC">
            <w:pPr>
              <w:ind w:left="0" w:leftChars="0" w:firstLine="0" w:firstLineChars="0"/>
              <w:jc w:val="center"/>
              <w:rPr>
                <w:rFonts w:hint="default"/>
                <w:sz w:val="28"/>
                <w:szCs w:val="24"/>
                <w:lang w:val="en-US" w:eastAsia="zh-CN"/>
              </w:rPr>
            </w:pPr>
            <w:r>
              <w:rPr>
                <w:rFonts w:hint="eastAsia"/>
                <w:sz w:val="28"/>
                <w:szCs w:val="24"/>
                <w:lang w:val="en-US" w:eastAsia="zh-CN"/>
              </w:rPr>
              <w:t>0.54</w:t>
            </w:r>
          </w:p>
        </w:tc>
        <w:tc>
          <w:tcPr>
            <w:tcW w:w="756" w:type="pct"/>
            <w:shd w:val="clear" w:color="auto" w:fill="auto"/>
            <w:tcMar>
              <w:top w:w="57" w:type="dxa"/>
              <w:bottom w:w="57" w:type="dxa"/>
            </w:tcMar>
            <w:vAlign w:val="center"/>
          </w:tcPr>
          <w:p w14:paraId="2A12A91F">
            <w:pPr>
              <w:ind w:left="0" w:leftChars="0" w:firstLine="0" w:firstLineChars="0"/>
              <w:jc w:val="center"/>
              <w:rPr>
                <w:rFonts w:hint="default"/>
                <w:sz w:val="28"/>
                <w:szCs w:val="24"/>
                <w:lang w:val="en-US" w:eastAsia="zh-CN"/>
              </w:rPr>
            </w:pPr>
            <w:r>
              <w:rPr>
                <w:rFonts w:hint="eastAsia"/>
                <w:sz w:val="28"/>
                <w:szCs w:val="24"/>
                <w:lang w:val="en-US" w:eastAsia="zh-CN"/>
              </w:rPr>
              <w:t>≤0.46</w:t>
            </w:r>
          </w:p>
        </w:tc>
      </w:tr>
      <w:tr w14:paraId="0739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1" w:type="pct"/>
            <w:vMerge w:val="continue"/>
            <w:shd w:val="clear" w:color="auto" w:fill="auto"/>
            <w:tcMar>
              <w:top w:w="57" w:type="dxa"/>
              <w:bottom w:w="57" w:type="dxa"/>
            </w:tcMar>
            <w:vAlign w:val="center"/>
          </w:tcPr>
          <w:p w14:paraId="61C5DB2D">
            <w:pPr>
              <w:pStyle w:val="6"/>
              <w:jc w:val="center"/>
              <w:rPr>
                <w:rFonts w:hint="default"/>
                <w:b w:val="0"/>
                <w:bCs w:val="0"/>
                <w:color w:val="000000"/>
                <w:sz w:val="28"/>
                <w:szCs w:val="28"/>
              </w:rPr>
            </w:pPr>
          </w:p>
        </w:tc>
        <w:tc>
          <w:tcPr>
            <w:tcW w:w="335" w:type="pct"/>
            <w:shd w:val="clear" w:color="auto" w:fill="auto"/>
            <w:tcMar>
              <w:top w:w="57" w:type="dxa"/>
              <w:bottom w:w="57" w:type="dxa"/>
            </w:tcMar>
            <w:vAlign w:val="center"/>
          </w:tcPr>
          <w:p w14:paraId="77E52AD1">
            <w:pPr>
              <w:ind w:left="0" w:leftChars="0" w:firstLine="0" w:firstLineChars="0"/>
              <w:jc w:val="center"/>
              <w:rPr>
                <w:rFonts w:hint="default"/>
                <w:lang w:val="en-US" w:eastAsia="zh-CN"/>
              </w:rPr>
            </w:pPr>
            <w:r>
              <w:rPr>
                <w:rFonts w:hint="eastAsia"/>
                <w:lang w:val="en-US" w:eastAsia="zh-CN"/>
              </w:rPr>
              <w:t>6</w:t>
            </w:r>
          </w:p>
        </w:tc>
        <w:tc>
          <w:tcPr>
            <w:tcW w:w="1261" w:type="pct"/>
            <w:shd w:val="clear" w:color="auto" w:fill="auto"/>
            <w:tcMar>
              <w:top w:w="57" w:type="dxa"/>
              <w:bottom w:w="57" w:type="dxa"/>
            </w:tcMar>
            <w:vAlign w:val="center"/>
          </w:tcPr>
          <w:p w14:paraId="4171462E">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人均村庄建设用地面积</w:t>
            </w:r>
          </w:p>
        </w:tc>
        <w:tc>
          <w:tcPr>
            <w:tcW w:w="675" w:type="pct"/>
            <w:shd w:val="clear" w:color="auto" w:fill="auto"/>
            <w:tcMar>
              <w:top w:w="57" w:type="dxa"/>
              <w:bottom w:w="57" w:type="dxa"/>
            </w:tcMar>
            <w:vAlign w:val="center"/>
          </w:tcPr>
          <w:p w14:paraId="31173AA9">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预期性</w:t>
            </w:r>
          </w:p>
        </w:tc>
        <w:tc>
          <w:tcPr>
            <w:tcW w:w="624" w:type="pct"/>
            <w:shd w:val="clear" w:color="auto" w:fill="auto"/>
            <w:tcMar>
              <w:top w:w="57" w:type="dxa"/>
              <w:bottom w:w="57" w:type="dxa"/>
            </w:tcMar>
            <w:vAlign w:val="center"/>
          </w:tcPr>
          <w:p w14:paraId="6FB1EE7C">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平方米/人</w:t>
            </w:r>
          </w:p>
        </w:tc>
        <w:tc>
          <w:tcPr>
            <w:tcW w:w="734" w:type="pct"/>
            <w:shd w:val="clear" w:color="auto" w:fill="auto"/>
            <w:tcMar>
              <w:top w:w="57" w:type="dxa"/>
              <w:bottom w:w="57" w:type="dxa"/>
            </w:tcMar>
            <w:vAlign w:val="center"/>
          </w:tcPr>
          <w:p w14:paraId="1BC548EC">
            <w:pPr>
              <w:ind w:left="0" w:leftChars="0" w:firstLine="0" w:firstLineChars="0"/>
              <w:jc w:val="center"/>
              <w:rPr>
                <w:rFonts w:hint="default"/>
                <w:sz w:val="28"/>
                <w:szCs w:val="24"/>
                <w:lang w:val="en-US" w:eastAsia="zh-CN"/>
              </w:rPr>
            </w:pPr>
            <w:r>
              <w:rPr>
                <w:rFonts w:hint="eastAsia"/>
                <w:sz w:val="28"/>
                <w:szCs w:val="24"/>
                <w:lang w:val="en-US" w:eastAsia="zh-CN"/>
              </w:rPr>
              <w:t>112.87</w:t>
            </w:r>
          </w:p>
        </w:tc>
        <w:tc>
          <w:tcPr>
            <w:tcW w:w="756" w:type="pct"/>
            <w:shd w:val="clear" w:color="auto" w:fill="auto"/>
            <w:tcMar>
              <w:top w:w="57" w:type="dxa"/>
              <w:bottom w:w="57" w:type="dxa"/>
            </w:tcMar>
            <w:vAlign w:val="center"/>
          </w:tcPr>
          <w:p w14:paraId="4081EC79">
            <w:pPr>
              <w:ind w:left="0" w:leftChars="0" w:firstLine="0" w:firstLineChars="0"/>
              <w:jc w:val="center"/>
              <w:rPr>
                <w:rFonts w:hint="default"/>
                <w:sz w:val="28"/>
                <w:szCs w:val="24"/>
                <w:lang w:val="en-US" w:eastAsia="zh-CN"/>
              </w:rPr>
            </w:pPr>
            <w:r>
              <w:rPr>
                <w:rFonts w:hint="eastAsia"/>
                <w:sz w:val="28"/>
                <w:szCs w:val="24"/>
                <w:lang w:val="en-US" w:eastAsia="zh-CN"/>
              </w:rPr>
              <w:t>≤119.91</w:t>
            </w:r>
          </w:p>
        </w:tc>
      </w:tr>
      <w:tr w14:paraId="11F9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1" w:type="pct"/>
            <w:vMerge w:val="restart"/>
            <w:shd w:val="clear" w:color="auto" w:fill="auto"/>
            <w:tcMar>
              <w:top w:w="57" w:type="dxa"/>
              <w:bottom w:w="57" w:type="dxa"/>
            </w:tcMar>
            <w:vAlign w:val="center"/>
          </w:tcPr>
          <w:p w14:paraId="1391747A">
            <w:pPr>
              <w:pStyle w:val="6"/>
              <w:jc w:val="center"/>
              <w:rPr>
                <w:rFonts w:hint="default"/>
                <w:b w:val="0"/>
                <w:bCs w:val="0"/>
                <w:color w:val="000000"/>
                <w:sz w:val="28"/>
                <w:szCs w:val="28"/>
              </w:rPr>
            </w:pPr>
            <w:r>
              <w:rPr>
                <w:b w:val="0"/>
                <w:bCs/>
                <w:color w:val="000000"/>
                <w:sz w:val="28"/>
                <w:szCs w:val="28"/>
              </w:rPr>
              <w:t>村庄保护性指标</w:t>
            </w:r>
          </w:p>
        </w:tc>
        <w:tc>
          <w:tcPr>
            <w:tcW w:w="335" w:type="pct"/>
            <w:shd w:val="clear" w:color="auto" w:fill="auto"/>
            <w:tcMar>
              <w:top w:w="57" w:type="dxa"/>
              <w:bottom w:w="57" w:type="dxa"/>
            </w:tcMar>
            <w:vAlign w:val="center"/>
          </w:tcPr>
          <w:p w14:paraId="3AF1CC1F">
            <w:pPr>
              <w:ind w:left="0" w:leftChars="0" w:firstLine="0" w:firstLineChars="0"/>
              <w:jc w:val="center"/>
              <w:rPr>
                <w:rFonts w:hint="default"/>
                <w:lang w:val="en-US" w:eastAsia="zh-CN"/>
              </w:rPr>
            </w:pPr>
            <w:r>
              <w:rPr>
                <w:rFonts w:hint="eastAsia"/>
                <w:lang w:val="en-US" w:eastAsia="zh-CN"/>
              </w:rPr>
              <w:t>7</w:t>
            </w:r>
          </w:p>
        </w:tc>
        <w:tc>
          <w:tcPr>
            <w:tcW w:w="1261" w:type="pct"/>
            <w:shd w:val="clear" w:color="auto" w:fill="auto"/>
            <w:tcMar>
              <w:top w:w="57" w:type="dxa"/>
              <w:bottom w:w="57" w:type="dxa"/>
            </w:tcMar>
            <w:vAlign w:val="center"/>
          </w:tcPr>
          <w:p w14:paraId="694956A4">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生态保护红线面积</w:t>
            </w:r>
          </w:p>
        </w:tc>
        <w:tc>
          <w:tcPr>
            <w:tcW w:w="675" w:type="pct"/>
            <w:shd w:val="clear" w:color="auto" w:fill="auto"/>
            <w:tcMar>
              <w:top w:w="57" w:type="dxa"/>
              <w:bottom w:w="57" w:type="dxa"/>
            </w:tcMar>
            <w:vAlign w:val="center"/>
          </w:tcPr>
          <w:p w14:paraId="5930A7EB">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约束性</w:t>
            </w:r>
          </w:p>
        </w:tc>
        <w:tc>
          <w:tcPr>
            <w:tcW w:w="624" w:type="pct"/>
            <w:shd w:val="clear" w:color="auto" w:fill="auto"/>
            <w:tcMar>
              <w:top w:w="57" w:type="dxa"/>
              <w:bottom w:w="57" w:type="dxa"/>
            </w:tcMar>
            <w:vAlign w:val="center"/>
          </w:tcPr>
          <w:p w14:paraId="26EB9D7A">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公顷</w:t>
            </w:r>
          </w:p>
        </w:tc>
        <w:tc>
          <w:tcPr>
            <w:tcW w:w="734" w:type="pct"/>
            <w:shd w:val="clear" w:color="auto" w:fill="auto"/>
            <w:tcMar>
              <w:top w:w="57" w:type="dxa"/>
              <w:bottom w:w="57" w:type="dxa"/>
            </w:tcMar>
            <w:vAlign w:val="center"/>
          </w:tcPr>
          <w:p w14:paraId="2230C632">
            <w:pPr>
              <w:ind w:left="0" w:leftChars="0" w:firstLine="0" w:firstLineChars="0"/>
              <w:jc w:val="center"/>
              <w:rPr>
                <w:rFonts w:hint="eastAsia"/>
                <w:sz w:val="28"/>
                <w:szCs w:val="24"/>
                <w:lang w:val="en-US" w:eastAsia="zh-CN"/>
              </w:rPr>
            </w:pPr>
            <w:r>
              <w:rPr>
                <w:rFonts w:hint="eastAsia"/>
                <w:sz w:val="28"/>
                <w:szCs w:val="24"/>
                <w:lang w:val="en-US" w:eastAsia="zh-CN"/>
              </w:rPr>
              <w:t>89.71</w:t>
            </w:r>
          </w:p>
        </w:tc>
        <w:tc>
          <w:tcPr>
            <w:tcW w:w="756" w:type="pct"/>
            <w:shd w:val="clear" w:color="auto" w:fill="auto"/>
            <w:tcMar>
              <w:top w:w="57" w:type="dxa"/>
              <w:bottom w:w="57" w:type="dxa"/>
            </w:tcMar>
            <w:vAlign w:val="center"/>
          </w:tcPr>
          <w:p w14:paraId="1C8687D9">
            <w:pPr>
              <w:ind w:left="0" w:leftChars="0" w:firstLine="0" w:firstLineChars="0"/>
              <w:jc w:val="center"/>
              <w:rPr>
                <w:rFonts w:hint="eastAsia"/>
                <w:sz w:val="28"/>
                <w:szCs w:val="24"/>
                <w:lang w:val="en-US" w:eastAsia="zh-CN"/>
              </w:rPr>
            </w:pPr>
            <w:r>
              <w:rPr>
                <w:rFonts w:hint="eastAsia"/>
                <w:sz w:val="28"/>
                <w:szCs w:val="24"/>
                <w:lang w:val="en-US" w:eastAsia="zh-CN"/>
              </w:rPr>
              <w:t>≥89.71</w:t>
            </w:r>
          </w:p>
        </w:tc>
      </w:tr>
      <w:tr w14:paraId="0009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1" w:type="pct"/>
            <w:vMerge w:val="continue"/>
            <w:shd w:val="clear" w:color="auto" w:fill="auto"/>
            <w:tcMar>
              <w:top w:w="57" w:type="dxa"/>
              <w:bottom w:w="57" w:type="dxa"/>
            </w:tcMar>
            <w:vAlign w:val="center"/>
          </w:tcPr>
          <w:p w14:paraId="17BB77E9">
            <w:pPr>
              <w:pStyle w:val="6"/>
              <w:jc w:val="center"/>
              <w:rPr>
                <w:rFonts w:hint="default"/>
                <w:b w:val="0"/>
                <w:bCs w:val="0"/>
                <w:color w:val="000000"/>
                <w:sz w:val="28"/>
                <w:szCs w:val="28"/>
              </w:rPr>
            </w:pPr>
          </w:p>
        </w:tc>
        <w:tc>
          <w:tcPr>
            <w:tcW w:w="335" w:type="pct"/>
            <w:shd w:val="clear" w:color="auto" w:fill="auto"/>
            <w:tcMar>
              <w:top w:w="57" w:type="dxa"/>
              <w:bottom w:w="57" w:type="dxa"/>
            </w:tcMar>
            <w:vAlign w:val="center"/>
          </w:tcPr>
          <w:p w14:paraId="3B704607">
            <w:pPr>
              <w:ind w:left="0" w:leftChars="0" w:firstLine="0" w:firstLineChars="0"/>
              <w:jc w:val="center"/>
              <w:rPr>
                <w:rFonts w:hint="default"/>
                <w:lang w:val="en-US" w:eastAsia="zh-CN"/>
              </w:rPr>
            </w:pPr>
            <w:r>
              <w:rPr>
                <w:rFonts w:hint="eastAsia"/>
                <w:lang w:val="en-US" w:eastAsia="zh-CN"/>
              </w:rPr>
              <w:t>8</w:t>
            </w:r>
          </w:p>
        </w:tc>
        <w:tc>
          <w:tcPr>
            <w:tcW w:w="1261" w:type="pct"/>
            <w:shd w:val="clear" w:color="auto" w:fill="auto"/>
            <w:tcMar>
              <w:top w:w="57" w:type="dxa"/>
              <w:bottom w:w="57" w:type="dxa"/>
            </w:tcMar>
            <w:vAlign w:val="center"/>
          </w:tcPr>
          <w:p w14:paraId="477E873B">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永久基本农田保护面积</w:t>
            </w:r>
          </w:p>
        </w:tc>
        <w:tc>
          <w:tcPr>
            <w:tcW w:w="675" w:type="pct"/>
            <w:shd w:val="clear" w:color="auto" w:fill="auto"/>
            <w:tcMar>
              <w:top w:w="57" w:type="dxa"/>
              <w:bottom w:w="57" w:type="dxa"/>
            </w:tcMar>
            <w:vAlign w:val="center"/>
          </w:tcPr>
          <w:p w14:paraId="0B81F5C3">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约束性</w:t>
            </w:r>
          </w:p>
        </w:tc>
        <w:tc>
          <w:tcPr>
            <w:tcW w:w="624" w:type="pct"/>
            <w:shd w:val="clear" w:color="auto" w:fill="auto"/>
            <w:tcMar>
              <w:top w:w="57" w:type="dxa"/>
              <w:bottom w:w="57" w:type="dxa"/>
            </w:tcMar>
            <w:vAlign w:val="center"/>
          </w:tcPr>
          <w:p w14:paraId="328B055F">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公顷</w:t>
            </w:r>
          </w:p>
        </w:tc>
        <w:tc>
          <w:tcPr>
            <w:tcW w:w="734" w:type="pct"/>
            <w:shd w:val="clear" w:color="auto" w:fill="auto"/>
            <w:tcMar>
              <w:top w:w="57" w:type="dxa"/>
              <w:bottom w:w="57" w:type="dxa"/>
            </w:tcMar>
            <w:vAlign w:val="center"/>
          </w:tcPr>
          <w:p w14:paraId="17EAC4C8">
            <w:pPr>
              <w:ind w:left="0" w:leftChars="0" w:firstLine="0" w:firstLineChars="0"/>
              <w:jc w:val="center"/>
              <w:rPr>
                <w:rFonts w:hint="default"/>
                <w:sz w:val="28"/>
                <w:szCs w:val="24"/>
                <w:lang w:val="en-US" w:eastAsia="zh-CN"/>
              </w:rPr>
            </w:pPr>
            <w:r>
              <w:rPr>
                <w:rFonts w:hint="eastAsia"/>
                <w:sz w:val="28"/>
                <w:szCs w:val="24"/>
                <w:lang w:val="en-US" w:eastAsia="zh-CN"/>
              </w:rPr>
              <w:t>55.7</w:t>
            </w:r>
          </w:p>
        </w:tc>
        <w:tc>
          <w:tcPr>
            <w:tcW w:w="756" w:type="pct"/>
            <w:shd w:val="clear" w:color="auto" w:fill="auto"/>
            <w:tcMar>
              <w:top w:w="57" w:type="dxa"/>
              <w:bottom w:w="57" w:type="dxa"/>
            </w:tcMar>
            <w:vAlign w:val="center"/>
          </w:tcPr>
          <w:p w14:paraId="309D5718">
            <w:pPr>
              <w:ind w:left="0" w:leftChars="0" w:firstLine="0" w:firstLineChars="0"/>
              <w:jc w:val="center"/>
              <w:rPr>
                <w:rFonts w:hint="default"/>
                <w:sz w:val="28"/>
                <w:szCs w:val="24"/>
                <w:lang w:val="en-US" w:eastAsia="zh-CN"/>
              </w:rPr>
            </w:pPr>
            <w:r>
              <w:rPr>
                <w:rFonts w:hint="eastAsia"/>
                <w:sz w:val="28"/>
                <w:szCs w:val="24"/>
                <w:lang w:val="en-US" w:eastAsia="zh-CN"/>
              </w:rPr>
              <w:t>≥55.7</w:t>
            </w:r>
          </w:p>
        </w:tc>
      </w:tr>
      <w:tr w14:paraId="128A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1" w:type="pct"/>
            <w:vMerge w:val="continue"/>
            <w:shd w:val="clear" w:color="auto" w:fill="auto"/>
            <w:tcMar>
              <w:top w:w="57" w:type="dxa"/>
              <w:bottom w:w="57" w:type="dxa"/>
            </w:tcMar>
            <w:vAlign w:val="center"/>
          </w:tcPr>
          <w:p w14:paraId="786889B2">
            <w:pPr>
              <w:pStyle w:val="6"/>
              <w:jc w:val="center"/>
              <w:rPr>
                <w:rFonts w:hint="default"/>
                <w:b w:val="0"/>
                <w:bCs w:val="0"/>
                <w:color w:val="000000"/>
                <w:sz w:val="28"/>
                <w:szCs w:val="28"/>
              </w:rPr>
            </w:pPr>
          </w:p>
        </w:tc>
        <w:tc>
          <w:tcPr>
            <w:tcW w:w="335" w:type="pct"/>
            <w:shd w:val="clear" w:color="auto" w:fill="auto"/>
            <w:tcMar>
              <w:top w:w="57" w:type="dxa"/>
              <w:bottom w:w="57" w:type="dxa"/>
            </w:tcMar>
            <w:vAlign w:val="center"/>
          </w:tcPr>
          <w:p w14:paraId="3F582E65">
            <w:pPr>
              <w:ind w:left="0" w:leftChars="0" w:firstLine="0" w:firstLineChars="0"/>
              <w:jc w:val="center"/>
              <w:rPr>
                <w:rFonts w:hint="default"/>
                <w:lang w:val="en-US" w:eastAsia="zh-CN"/>
              </w:rPr>
            </w:pPr>
            <w:r>
              <w:rPr>
                <w:rFonts w:hint="eastAsia"/>
                <w:lang w:val="en-US" w:eastAsia="zh-CN"/>
              </w:rPr>
              <w:t>9</w:t>
            </w:r>
          </w:p>
        </w:tc>
        <w:tc>
          <w:tcPr>
            <w:tcW w:w="1261" w:type="pct"/>
            <w:shd w:val="clear" w:color="auto" w:fill="auto"/>
            <w:tcMar>
              <w:top w:w="57" w:type="dxa"/>
              <w:bottom w:w="57" w:type="dxa"/>
            </w:tcMar>
            <w:vAlign w:val="center"/>
          </w:tcPr>
          <w:p w14:paraId="06D90847">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耕地保有量</w:t>
            </w:r>
          </w:p>
        </w:tc>
        <w:tc>
          <w:tcPr>
            <w:tcW w:w="675" w:type="pct"/>
            <w:shd w:val="clear" w:color="auto" w:fill="auto"/>
            <w:tcMar>
              <w:top w:w="57" w:type="dxa"/>
              <w:bottom w:w="57" w:type="dxa"/>
            </w:tcMar>
            <w:vAlign w:val="center"/>
          </w:tcPr>
          <w:p w14:paraId="03E730FA">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约束性</w:t>
            </w:r>
          </w:p>
        </w:tc>
        <w:tc>
          <w:tcPr>
            <w:tcW w:w="624" w:type="pct"/>
            <w:shd w:val="clear" w:color="auto" w:fill="auto"/>
            <w:tcMar>
              <w:top w:w="57" w:type="dxa"/>
              <w:bottom w:w="57" w:type="dxa"/>
            </w:tcMar>
            <w:vAlign w:val="center"/>
          </w:tcPr>
          <w:p w14:paraId="0A3216AB">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公顷</w:t>
            </w:r>
          </w:p>
        </w:tc>
        <w:tc>
          <w:tcPr>
            <w:tcW w:w="734" w:type="pct"/>
            <w:shd w:val="clear" w:color="auto" w:fill="auto"/>
            <w:tcMar>
              <w:top w:w="57" w:type="dxa"/>
              <w:bottom w:w="57" w:type="dxa"/>
            </w:tcMar>
            <w:vAlign w:val="center"/>
          </w:tcPr>
          <w:p w14:paraId="0EC21768">
            <w:pPr>
              <w:ind w:left="0" w:leftChars="0" w:firstLine="0" w:firstLineChars="0"/>
              <w:jc w:val="center"/>
              <w:rPr>
                <w:rFonts w:hint="default"/>
                <w:sz w:val="28"/>
                <w:szCs w:val="24"/>
                <w:lang w:val="en-US" w:eastAsia="zh-CN"/>
              </w:rPr>
            </w:pPr>
            <w:r>
              <w:rPr>
                <w:rFonts w:hint="eastAsia"/>
                <w:sz w:val="28"/>
                <w:szCs w:val="24"/>
                <w:lang w:val="en-US" w:eastAsia="zh-CN"/>
              </w:rPr>
              <w:t>63.06</w:t>
            </w:r>
          </w:p>
        </w:tc>
        <w:tc>
          <w:tcPr>
            <w:tcW w:w="756" w:type="pct"/>
            <w:shd w:val="clear" w:color="auto" w:fill="auto"/>
            <w:tcMar>
              <w:top w:w="57" w:type="dxa"/>
              <w:bottom w:w="57" w:type="dxa"/>
            </w:tcMar>
            <w:vAlign w:val="center"/>
          </w:tcPr>
          <w:p w14:paraId="05149819">
            <w:pPr>
              <w:ind w:left="0" w:leftChars="0" w:firstLine="0" w:firstLineChars="0"/>
              <w:jc w:val="center"/>
              <w:rPr>
                <w:rFonts w:hint="default"/>
                <w:sz w:val="28"/>
                <w:szCs w:val="24"/>
                <w:lang w:val="en-US" w:eastAsia="zh-CN"/>
              </w:rPr>
            </w:pPr>
            <w:r>
              <w:rPr>
                <w:rFonts w:hint="eastAsia"/>
                <w:sz w:val="28"/>
                <w:szCs w:val="24"/>
                <w:lang w:val="en-US" w:eastAsia="zh-CN"/>
              </w:rPr>
              <w:t>≥63.06</w:t>
            </w:r>
          </w:p>
        </w:tc>
      </w:tr>
      <w:tr w14:paraId="7ED9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1" w:type="pct"/>
            <w:vMerge w:val="continue"/>
            <w:shd w:val="clear" w:color="auto" w:fill="auto"/>
            <w:tcMar>
              <w:top w:w="57" w:type="dxa"/>
              <w:bottom w:w="57" w:type="dxa"/>
            </w:tcMar>
            <w:vAlign w:val="center"/>
          </w:tcPr>
          <w:p w14:paraId="1244011C">
            <w:pPr>
              <w:pStyle w:val="6"/>
              <w:jc w:val="center"/>
              <w:rPr>
                <w:rFonts w:hint="default"/>
                <w:b w:val="0"/>
                <w:bCs w:val="0"/>
                <w:color w:val="000000"/>
                <w:sz w:val="28"/>
                <w:szCs w:val="28"/>
              </w:rPr>
            </w:pPr>
          </w:p>
        </w:tc>
        <w:tc>
          <w:tcPr>
            <w:tcW w:w="335" w:type="pct"/>
            <w:shd w:val="clear" w:color="auto" w:fill="auto"/>
            <w:tcMar>
              <w:top w:w="57" w:type="dxa"/>
              <w:bottom w:w="57" w:type="dxa"/>
            </w:tcMar>
            <w:vAlign w:val="center"/>
          </w:tcPr>
          <w:p w14:paraId="1E157F2F">
            <w:pPr>
              <w:ind w:left="0" w:leftChars="0" w:firstLine="0" w:firstLineChars="0"/>
              <w:jc w:val="center"/>
              <w:rPr>
                <w:rFonts w:hint="default"/>
                <w:lang w:val="en-US" w:eastAsia="zh-CN"/>
              </w:rPr>
            </w:pPr>
            <w:r>
              <w:rPr>
                <w:rFonts w:hint="eastAsia"/>
                <w:lang w:val="en-US" w:eastAsia="zh-CN"/>
              </w:rPr>
              <w:t>10</w:t>
            </w:r>
          </w:p>
        </w:tc>
        <w:tc>
          <w:tcPr>
            <w:tcW w:w="1261" w:type="pct"/>
            <w:shd w:val="clear" w:color="auto" w:fill="auto"/>
            <w:tcMar>
              <w:top w:w="57" w:type="dxa"/>
              <w:bottom w:w="57" w:type="dxa"/>
            </w:tcMar>
            <w:vAlign w:val="center"/>
          </w:tcPr>
          <w:p w14:paraId="7016E02A">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林地保有量</w:t>
            </w:r>
          </w:p>
        </w:tc>
        <w:tc>
          <w:tcPr>
            <w:tcW w:w="675" w:type="pct"/>
            <w:shd w:val="clear" w:color="auto" w:fill="auto"/>
            <w:tcMar>
              <w:top w:w="57" w:type="dxa"/>
              <w:bottom w:w="57" w:type="dxa"/>
            </w:tcMar>
            <w:vAlign w:val="center"/>
          </w:tcPr>
          <w:p w14:paraId="2E736AE6">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约束性</w:t>
            </w:r>
          </w:p>
        </w:tc>
        <w:tc>
          <w:tcPr>
            <w:tcW w:w="624" w:type="pct"/>
            <w:shd w:val="clear" w:color="auto" w:fill="auto"/>
            <w:tcMar>
              <w:top w:w="57" w:type="dxa"/>
              <w:bottom w:w="57" w:type="dxa"/>
            </w:tcMar>
            <w:vAlign w:val="center"/>
          </w:tcPr>
          <w:p w14:paraId="65587DF1">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公顷</w:t>
            </w:r>
          </w:p>
        </w:tc>
        <w:tc>
          <w:tcPr>
            <w:tcW w:w="734" w:type="pct"/>
            <w:shd w:val="clear" w:color="auto" w:fill="auto"/>
            <w:tcMar>
              <w:top w:w="57" w:type="dxa"/>
              <w:bottom w:w="57" w:type="dxa"/>
            </w:tcMar>
            <w:vAlign w:val="center"/>
          </w:tcPr>
          <w:p w14:paraId="4A688589">
            <w:pPr>
              <w:ind w:left="0" w:leftChars="0" w:firstLine="0" w:firstLineChars="0"/>
              <w:jc w:val="center"/>
              <w:rPr>
                <w:rFonts w:hint="default"/>
                <w:sz w:val="28"/>
                <w:szCs w:val="24"/>
                <w:lang w:val="en-US" w:eastAsia="zh-CN"/>
              </w:rPr>
            </w:pPr>
            <w:r>
              <w:rPr>
                <w:rFonts w:hint="eastAsia"/>
                <w:sz w:val="28"/>
                <w:szCs w:val="24"/>
                <w:lang w:val="en-US" w:eastAsia="zh-CN"/>
              </w:rPr>
              <w:t>428.11</w:t>
            </w:r>
          </w:p>
        </w:tc>
        <w:tc>
          <w:tcPr>
            <w:tcW w:w="756" w:type="pct"/>
            <w:shd w:val="clear" w:color="auto" w:fill="auto"/>
            <w:tcMar>
              <w:top w:w="57" w:type="dxa"/>
              <w:bottom w:w="57" w:type="dxa"/>
            </w:tcMar>
            <w:vAlign w:val="center"/>
          </w:tcPr>
          <w:p w14:paraId="2EB1CD84">
            <w:pPr>
              <w:ind w:left="0" w:leftChars="0" w:firstLine="0" w:firstLineChars="0"/>
              <w:jc w:val="center"/>
              <w:rPr>
                <w:rFonts w:hint="default"/>
                <w:sz w:val="28"/>
                <w:szCs w:val="24"/>
                <w:lang w:val="en-US" w:eastAsia="zh-CN"/>
              </w:rPr>
            </w:pPr>
            <w:r>
              <w:rPr>
                <w:rFonts w:hint="eastAsia"/>
                <w:sz w:val="28"/>
                <w:szCs w:val="24"/>
                <w:lang w:val="en-US" w:eastAsia="zh-CN"/>
              </w:rPr>
              <w:t>≥428.11</w:t>
            </w:r>
          </w:p>
        </w:tc>
      </w:tr>
      <w:tr w14:paraId="21C7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1" w:type="pct"/>
            <w:vMerge w:val="continue"/>
            <w:shd w:val="clear" w:color="auto" w:fill="auto"/>
            <w:tcMar>
              <w:top w:w="57" w:type="dxa"/>
              <w:bottom w:w="57" w:type="dxa"/>
            </w:tcMar>
            <w:vAlign w:val="center"/>
          </w:tcPr>
          <w:p w14:paraId="0D63F946">
            <w:pPr>
              <w:pStyle w:val="6"/>
              <w:jc w:val="center"/>
              <w:rPr>
                <w:rFonts w:hint="default"/>
                <w:b w:val="0"/>
                <w:bCs w:val="0"/>
                <w:color w:val="000000"/>
                <w:sz w:val="28"/>
                <w:szCs w:val="28"/>
              </w:rPr>
            </w:pPr>
          </w:p>
        </w:tc>
        <w:tc>
          <w:tcPr>
            <w:tcW w:w="335" w:type="pct"/>
            <w:shd w:val="clear" w:color="auto" w:fill="auto"/>
            <w:tcMar>
              <w:top w:w="57" w:type="dxa"/>
              <w:bottom w:w="57" w:type="dxa"/>
            </w:tcMar>
            <w:vAlign w:val="center"/>
          </w:tcPr>
          <w:p w14:paraId="2347A265">
            <w:pPr>
              <w:ind w:left="0" w:leftChars="0" w:firstLine="0" w:firstLineChars="0"/>
              <w:jc w:val="center"/>
              <w:rPr>
                <w:rFonts w:hint="eastAsia"/>
                <w:lang w:val="en-US" w:eastAsia="zh-CN"/>
              </w:rPr>
            </w:pPr>
            <w:r>
              <w:rPr>
                <w:rFonts w:hint="eastAsia"/>
                <w:lang w:val="en-US" w:eastAsia="zh-CN"/>
              </w:rPr>
              <w:t>11</w:t>
            </w:r>
          </w:p>
        </w:tc>
        <w:tc>
          <w:tcPr>
            <w:tcW w:w="1261" w:type="pct"/>
            <w:shd w:val="clear" w:color="auto" w:fill="auto"/>
            <w:tcMar>
              <w:top w:w="57" w:type="dxa"/>
              <w:bottom w:w="57" w:type="dxa"/>
            </w:tcMar>
            <w:vAlign w:val="center"/>
          </w:tcPr>
          <w:p w14:paraId="44D9CB18">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自然和文化遗产</w:t>
            </w:r>
          </w:p>
        </w:tc>
        <w:tc>
          <w:tcPr>
            <w:tcW w:w="675" w:type="pct"/>
            <w:shd w:val="clear" w:color="auto" w:fill="auto"/>
            <w:tcMar>
              <w:top w:w="57" w:type="dxa"/>
              <w:bottom w:w="57" w:type="dxa"/>
            </w:tcMar>
            <w:vAlign w:val="center"/>
          </w:tcPr>
          <w:p w14:paraId="1EC6FAD7">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预期性</w:t>
            </w:r>
          </w:p>
        </w:tc>
        <w:tc>
          <w:tcPr>
            <w:tcW w:w="624" w:type="pct"/>
            <w:shd w:val="clear" w:color="auto" w:fill="auto"/>
            <w:tcMar>
              <w:top w:w="57" w:type="dxa"/>
              <w:bottom w:w="57" w:type="dxa"/>
            </w:tcMar>
            <w:vAlign w:val="center"/>
          </w:tcPr>
          <w:p w14:paraId="7E950FF7">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处</w:t>
            </w:r>
          </w:p>
        </w:tc>
        <w:tc>
          <w:tcPr>
            <w:tcW w:w="734" w:type="pct"/>
            <w:shd w:val="clear" w:color="auto" w:fill="auto"/>
            <w:tcMar>
              <w:top w:w="57" w:type="dxa"/>
              <w:bottom w:w="57" w:type="dxa"/>
            </w:tcMar>
            <w:vAlign w:val="center"/>
          </w:tcPr>
          <w:p w14:paraId="50CA6DE1">
            <w:pPr>
              <w:ind w:left="0" w:leftChars="0" w:firstLine="0" w:firstLineChars="0"/>
              <w:jc w:val="center"/>
              <w:rPr>
                <w:rFonts w:hint="eastAsia"/>
                <w:sz w:val="28"/>
                <w:szCs w:val="24"/>
                <w:lang w:val="en-US" w:eastAsia="zh-CN"/>
              </w:rPr>
            </w:pPr>
            <w:r>
              <w:rPr>
                <w:rFonts w:hint="eastAsia"/>
                <w:sz w:val="28"/>
                <w:szCs w:val="24"/>
                <w:lang w:val="en-US" w:eastAsia="zh-CN"/>
              </w:rPr>
              <w:t>2</w:t>
            </w:r>
          </w:p>
        </w:tc>
        <w:tc>
          <w:tcPr>
            <w:tcW w:w="756" w:type="pct"/>
            <w:shd w:val="clear" w:color="auto" w:fill="auto"/>
            <w:tcMar>
              <w:top w:w="57" w:type="dxa"/>
              <w:bottom w:w="57" w:type="dxa"/>
            </w:tcMar>
            <w:vAlign w:val="center"/>
          </w:tcPr>
          <w:p w14:paraId="3B2E10F1">
            <w:pPr>
              <w:ind w:left="0" w:leftChars="0" w:firstLine="0" w:firstLineChars="0"/>
              <w:jc w:val="center"/>
              <w:rPr>
                <w:rFonts w:hint="eastAsia"/>
                <w:sz w:val="28"/>
                <w:szCs w:val="24"/>
                <w:lang w:val="en-US" w:eastAsia="zh-CN"/>
              </w:rPr>
            </w:pPr>
            <w:r>
              <w:rPr>
                <w:rFonts w:hint="eastAsia"/>
                <w:sz w:val="28"/>
                <w:szCs w:val="24"/>
                <w:lang w:val="en-US" w:eastAsia="zh-CN"/>
              </w:rPr>
              <w:t>≥2</w:t>
            </w:r>
          </w:p>
        </w:tc>
      </w:tr>
    </w:tbl>
    <w:p w14:paraId="1D19DEB0">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3DB9F280">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3EEEEAC2">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4E6EC8C6">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75FB3CA8">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5F6D61D2">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0E11B01B">
      <w:pPr>
        <w:rPr>
          <w:rFonts w:hint="eastAsia"/>
          <w:lang w:eastAsia="zh-CN"/>
        </w:rPr>
      </w:pPr>
    </w:p>
    <w:p w14:paraId="59E7D225">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127E8AEE">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jc w:val="both"/>
        <w:textAlignment w:val="auto"/>
        <w:rPr>
          <w:rFonts w:hint="eastAsia"/>
          <w:lang w:val="en-US" w:eastAsia="zh-CN"/>
        </w:rPr>
      </w:pPr>
    </w:p>
    <w:p w14:paraId="092F776F">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jc w:val="both"/>
        <w:textAlignment w:val="auto"/>
      </w:pPr>
      <w:r>
        <w:rPr>
          <w:rFonts w:hint="eastAsia"/>
          <w:lang w:val="en-US" w:eastAsia="zh-CN"/>
        </w:rPr>
        <w:t>附件：高</w:t>
      </w:r>
      <w:r>
        <w:rPr>
          <w:rFonts w:hint="eastAsia"/>
          <w:lang w:eastAsia="zh-CN"/>
        </w:rPr>
        <w:t>山</w:t>
      </w:r>
      <w:r>
        <w:rPr>
          <w:rFonts w:hint="eastAsia"/>
        </w:rPr>
        <w:t>村国土空间功能结构调整表</w:t>
      </w:r>
    </w:p>
    <w:tbl>
      <w:tblPr>
        <w:tblStyle w:val="4"/>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64"/>
        <w:gridCol w:w="1067"/>
        <w:gridCol w:w="2183"/>
        <w:gridCol w:w="5747"/>
        <w:gridCol w:w="1928"/>
        <w:gridCol w:w="1928"/>
        <w:gridCol w:w="1928"/>
        <w:gridCol w:w="1928"/>
        <w:gridCol w:w="2551"/>
        <w:gridCol w:w="9"/>
      </w:tblGrid>
      <w:tr w14:paraId="7F5A2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10561" w:type="dxa"/>
            <w:gridSpan w:val="4"/>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45BDD62">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用地类型</w:t>
            </w:r>
          </w:p>
        </w:tc>
        <w:tc>
          <w:tcPr>
            <w:tcW w:w="3856"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1AE273F">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 xml:space="preserve">规划基期年 </w:t>
            </w:r>
          </w:p>
        </w:tc>
        <w:tc>
          <w:tcPr>
            <w:tcW w:w="3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1B7506">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规划目标年</w:t>
            </w:r>
          </w:p>
        </w:tc>
        <w:tc>
          <w:tcPr>
            <w:tcW w:w="256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11093F">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规划前后面积增减</w:t>
            </w:r>
          </w:p>
        </w:tc>
      </w:tr>
      <w:tr w14:paraId="547D5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340" w:hRule="atLeast"/>
        </w:trPr>
        <w:tc>
          <w:tcPr>
            <w:tcW w:w="10561"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8CCE37">
            <w:pPr>
              <w:pStyle w:val="6"/>
              <w:jc w:val="center"/>
              <w:rPr>
                <w:rFonts w:hint="eastAsia" w:ascii="宋体" w:hAnsi="宋体" w:eastAsia="宋体" w:cs="宋体"/>
                <w:b/>
                <w:color w:val="000000"/>
                <w:sz w:val="28"/>
                <w:szCs w:val="28"/>
              </w:rPr>
            </w:pPr>
          </w:p>
        </w:tc>
        <w:tc>
          <w:tcPr>
            <w:tcW w:w="1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10C928">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面积（公顷）</w:t>
            </w:r>
          </w:p>
        </w:tc>
        <w:tc>
          <w:tcPr>
            <w:tcW w:w="1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44DF90">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比重（％）</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F276">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面积（公顷）</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3344">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比重（%）</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EC8E">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面积（公顷）</w:t>
            </w:r>
          </w:p>
        </w:tc>
      </w:tr>
      <w:tr w14:paraId="0051D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40700270">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农林用地</w:t>
            </w: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1B6DD5E">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耕地（01）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B40F5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63.06</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32C992">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10.04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543643">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64.64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431820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10.29</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46F6A0">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1.58</w:t>
            </w:r>
          </w:p>
        </w:tc>
      </w:tr>
      <w:tr w14:paraId="2DEC8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14EDE9B">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2548D777">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园地（02）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A7452F">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84.69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D1164C">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13.48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716828">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72.22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A7D968">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11.49</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26884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-12.47</w:t>
            </w:r>
          </w:p>
        </w:tc>
      </w:tr>
      <w:tr w14:paraId="001FF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ED9A3CB">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4B06E2F5">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林地（03）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CE7460">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428.11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372A7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68.13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E421A7">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418.52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1B7975">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66.60</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AB3DAF">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-9.59</w:t>
            </w:r>
          </w:p>
        </w:tc>
      </w:tr>
      <w:tr w14:paraId="5A1C1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99EF675">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6B20875A">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草地（04）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17A763">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0.93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F4E1C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0.15</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DEC454">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D68FA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0.02</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98157C">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-0.79</w:t>
            </w:r>
          </w:p>
        </w:tc>
      </w:tr>
      <w:tr w14:paraId="55F8A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2E10DDE">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C17FB90">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农业设施建设用地（06）</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EB7269">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6.71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5F6E36">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1.07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04B56A">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7.05</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674B36">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1.12</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3913AE">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0.34</w:t>
            </w:r>
          </w:p>
        </w:tc>
      </w:tr>
      <w:tr w14:paraId="0DD6B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1C22673">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082F1A27">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小计</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96651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583.5</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D41872">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92.86</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0013B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562.57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53756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89.53</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9893C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-20.93</w:t>
            </w:r>
          </w:p>
        </w:tc>
      </w:tr>
      <w:tr w14:paraId="2E9F1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42" w:hRule="atLeast"/>
        </w:trPr>
        <w:tc>
          <w:tcPr>
            <w:tcW w:w="1564"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521E7E95">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村域建设用地</w:t>
            </w:r>
          </w:p>
        </w:tc>
        <w:tc>
          <w:tcPr>
            <w:tcW w:w="1067"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743A4B3A">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村域城乡建设用地</w:t>
            </w:r>
          </w:p>
        </w:tc>
        <w:tc>
          <w:tcPr>
            <w:tcW w:w="793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7B375615">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城镇用地（07-09，1001，11，1207-1209，1301-1310，1313，14，16，2301）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852C0F">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9.89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136DC8">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1.57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2E11C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30.68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0A470B">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4.88</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07F1C6">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20.79</w:t>
            </w:r>
          </w:p>
        </w:tc>
      </w:tr>
      <w:tr w14:paraId="4B461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C17F7A4">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7C1203D">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0E3235C">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村庄建设用地</w:t>
            </w: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5B5D7CF">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居住用地（0703-0704）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8977DB">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27.13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67B40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4.32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588EB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29.38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5CA060">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4.68</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F7E3AB">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2.25</w:t>
            </w:r>
          </w:p>
        </w:tc>
      </w:tr>
      <w:tr w14:paraId="223AA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D79F323">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A57F4C8">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0240268">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1762C8">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公共管理与公共服务设施用地（08）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84DB2F">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19A3FC">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669ED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0.69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5EA7A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0.11</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0AA5D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-0.01</w:t>
            </w:r>
          </w:p>
        </w:tc>
      </w:tr>
      <w:tr w14:paraId="6FBF6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D30BD2C">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DB4D04A">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B4D106D">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661D36">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工业用地（1001）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077618">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7B878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0.05</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46F933">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0.15</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F438AE9">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0.02</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0DDFE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-0.15</w:t>
            </w:r>
          </w:p>
        </w:tc>
      </w:tr>
      <w:tr w14:paraId="28AC3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4E9455F">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EC88EE2">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DCCC2AD">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F34298">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城镇村道路用地（1207）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6493C0">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0.58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FB0C96">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A72393">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0.78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154D8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0.12</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020F4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0.2</w:t>
            </w:r>
          </w:p>
        </w:tc>
      </w:tr>
      <w:tr w14:paraId="074AB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64A06EC">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8CF6D68">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7DF3BFB">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8B6448">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公用设施用地（1301-1310,1313）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B379B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0.54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B20FA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59FF46">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0.46</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5EC50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0.07</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CD1AB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-0.08</w:t>
            </w:r>
          </w:p>
        </w:tc>
      </w:tr>
      <w:tr w14:paraId="29501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06744DE">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1A863AC">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CF0041E">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19FAE1">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绿地与开敞空间用地（14）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4B05F3">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506123">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55D4A8">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0.47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7E8C02">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0.07</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DB70A4">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0.47</w:t>
            </w:r>
          </w:p>
        </w:tc>
      </w:tr>
      <w:tr w14:paraId="7A3FE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8D533D9">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BD4D429">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864E7C9">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03A052">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小计</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95B00C">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29.25</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76DF47">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4.65</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64CB98">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31.92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0CF3B0">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5.08</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39EC9A">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2.67</w:t>
            </w:r>
          </w:p>
        </w:tc>
      </w:tr>
      <w:tr w14:paraId="656B2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C87F128">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F5B5EA3">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793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715F3A93">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小计</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49081E6">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39.14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2430D0">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6.23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8E52F1">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62.61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3FBB7E">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9.96</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5921EA">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23.47</w:t>
            </w:r>
          </w:p>
        </w:tc>
      </w:tr>
      <w:tr w14:paraId="23A19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F078D62">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E25DED3">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区域基础设施用地（1201-1206,1311,1312）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6A396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2.2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059F5C">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0.35</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DF59C3">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5166CB">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0.03</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C1FB8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w:t>
            </w:r>
          </w:p>
        </w:tc>
      </w:tr>
      <w:tr w14:paraId="57576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F5D9B62">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FB52FEA">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其他建设用地（15,1002,1003）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D1BDBF">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2.38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EE1290">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0.38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868300">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2.39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7D264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0.38</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BF5D6B">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0.01</w:t>
            </w:r>
          </w:p>
        </w:tc>
      </w:tr>
      <w:tr w14:paraId="1C3AB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CDA1382">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AA7B7ED">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小计</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664B9E">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43.72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C53CE7">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6.96</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7EB3ED">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65.2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A45C64">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10.38</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795E2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21.48</w:t>
            </w:r>
          </w:p>
        </w:tc>
      </w:tr>
      <w:tr w14:paraId="13126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3056FBE5">
            <w:pPr>
              <w:widowControl/>
              <w:spacing w:line="240" w:lineRule="auto"/>
              <w:ind w:firstLine="0" w:firstLineChars="0"/>
              <w:jc w:val="center"/>
              <w:textAlignment w:val="center"/>
              <w:rPr>
                <w:rFonts w:hint="eastAsia" w:ascii="宋体" w:hAnsi="宋体" w:eastAsia="宋体" w:cs="宋体"/>
                <w:color w:val="000000"/>
                <w:kern w:val="24"/>
                <w:sz w:val="28"/>
                <w:szCs w:val="28"/>
                <w:lang w:val="en-US"/>
              </w:rPr>
            </w:pPr>
            <w:r>
              <w:rPr>
                <w:rFonts w:hint="eastAsia" w:ascii="宋体" w:hAnsi="宋体" w:eastAsia="宋体" w:cs="宋体"/>
                <w:color w:val="000000"/>
                <w:kern w:val="24"/>
                <w:sz w:val="28"/>
                <w:szCs w:val="28"/>
                <w:lang w:val="en-US" w:eastAsia="zh-CN"/>
              </w:rPr>
              <w:t>其他用地</w:t>
            </w: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1744AB35">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陆地水域（17）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895693">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1.17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3C81F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7344AF">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0.62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BB5FC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0.10</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695592">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-0.55</w:t>
            </w:r>
          </w:p>
        </w:tc>
      </w:tr>
      <w:tr w14:paraId="4E5A2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B027BF6">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7DA45B95">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其他土地（23）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7BBCD9">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5FC12E">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6B244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7F3AAF">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886C2A">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r>
      <w:tr w14:paraId="7A376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DDA3BB1">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11950DBB">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小计</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346AE7">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1.17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A78218">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8215D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0.62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71271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0.10</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7EC86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-0.55</w:t>
            </w:r>
          </w:p>
        </w:tc>
      </w:tr>
      <w:tr w14:paraId="584C0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0561"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7F968882">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总计</w:t>
            </w:r>
          </w:p>
        </w:tc>
        <w:tc>
          <w:tcPr>
            <w:tcW w:w="1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77F7E3">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628.39</w:t>
            </w:r>
          </w:p>
        </w:tc>
        <w:tc>
          <w:tcPr>
            <w:tcW w:w="1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24B712">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100</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3C8969">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628.39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9E6B2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100</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FC969B">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r>
    </w:tbl>
    <w:p w14:paraId="246ABE3A">
      <w:pPr>
        <w:keepNext w:val="0"/>
        <w:keepLines w:val="0"/>
        <w:widowControl/>
        <w:suppressLineNumbers w:val="0"/>
        <w:jc w:val="left"/>
        <w:rPr>
          <w:rFonts w:ascii="瀹嬩綋" w:hAnsi="瀹嬩綋" w:eastAsia="瀹嬩綋" w:cs="瀹嬩綋"/>
          <w:b/>
          <w:bCs/>
          <w:color w:val="000000"/>
          <w:kern w:val="0"/>
          <w:sz w:val="32"/>
          <w:szCs w:val="32"/>
          <w:lang w:val="en-US" w:eastAsia="zh-CN" w:bidi="ar"/>
        </w:rPr>
      </w:pPr>
    </w:p>
    <w:p w14:paraId="61617ED7">
      <w:pPr>
        <w:keepNext w:val="0"/>
        <w:keepLines w:val="0"/>
        <w:widowControl/>
        <w:suppressLineNumbers w:val="0"/>
        <w:jc w:val="left"/>
        <w:rPr>
          <w:rFonts w:hint="default" w:ascii="瀹嬩綋" w:hAnsi="瀹嬩綋" w:eastAsia="瀹嬩綋" w:cs="瀹嬩綋"/>
          <w:b/>
          <w:bCs/>
          <w:color w:val="000000"/>
          <w:kern w:val="0"/>
          <w:sz w:val="32"/>
          <w:szCs w:val="32"/>
          <w:lang w:val="en-US" w:eastAsia="zh-CN" w:bidi="ar"/>
        </w:rPr>
        <w:sectPr>
          <w:pgSz w:w="23811" w:h="16838" w:orient="landscape"/>
          <w:pgMar w:top="1800" w:right="1440" w:bottom="1800" w:left="1440" w:header="851" w:footer="992" w:gutter="0"/>
          <w:cols w:space="425" w:num="1"/>
          <w:docGrid w:type="lines" w:linePitch="312" w:charSpace="0"/>
        </w:sectPr>
      </w:pPr>
      <w:r>
        <w:rPr>
          <w:rFonts w:hint="eastAsia" w:ascii="瀹嬩綋" w:hAnsi="瀹嬩綋" w:eastAsia="瀹嬩綋" w:cs="瀹嬩綋"/>
          <w:b/>
          <w:bCs/>
          <w:color w:val="000000"/>
          <w:kern w:val="0"/>
          <w:sz w:val="32"/>
          <w:szCs w:val="32"/>
          <w:lang w:val="en-US" w:eastAsia="zh-CN" w:bidi="ar"/>
        </w:rPr>
        <w:t>高山村管控规则</w:t>
      </w:r>
    </w:p>
    <w:p w14:paraId="324247C0">
      <w:pPr>
        <w:keepNext w:val="0"/>
        <w:keepLines w:val="0"/>
        <w:widowControl/>
        <w:suppressLineNumbers w:val="0"/>
        <w:jc w:val="left"/>
      </w:pPr>
      <w:r>
        <w:rPr>
          <w:rFonts w:ascii="瀹嬩綋" w:hAnsi="瀹嬩綋" w:eastAsia="瀹嬩綋" w:cs="瀹嬩綋"/>
          <w:b/>
          <w:bCs/>
          <w:color w:val="000000"/>
          <w:kern w:val="0"/>
          <w:sz w:val="32"/>
          <w:szCs w:val="32"/>
          <w:lang w:val="en-US" w:eastAsia="zh-CN" w:bidi="ar"/>
        </w:rPr>
        <w:t xml:space="preserve">一、总体规则 </w:t>
      </w:r>
    </w:p>
    <w:p w14:paraId="2CC90A51">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严格坚持先规划后建设原则，无规划管控的村庄原则上停止一切新增建设用地审查。严格遵守 </w:t>
      </w:r>
    </w:p>
    <w:p w14:paraId="2D394719">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乡镇国土空间规划等上位规划或专项规划确定的管制规则。鼓励根据实际需求以负面清单或准入清单形式明确各类空间规划管控要求。 </w:t>
      </w:r>
    </w:p>
    <w:p w14:paraId="7A298CE4">
      <w:pPr>
        <w:keepNext w:val="0"/>
        <w:keepLines w:val="0"/>
        <w:widowControl/>
        <w:suppressLineNumbers w:val="0"/>
        <w:jc w:val="left"/>
      </w:pPr>
      <w:r>
        <w:rPr>
          <w:rFonts w:hint="default" w:ascii="瀹嬩綋" w:hAnsi="瀹嬩綋" w:eastAsia="瀹嬩綋" w:cs="瀹嬩綋"/>
          <w:b/>
          <w:bCs/>
          <w:color w:val="000000"/>
          <w:kern w:val="0"/>
          <w:sz w:val="32"/>
          <w:szCs w:val="32"/>
          <w:lang w:val="en-US" w:eastAsia="zh-CN" w:bidi="ar"/>
        </w:rPr>
        <w:t xml:space="preserve">二、农业空间管控规则 </w:t>
      </w:r>
    </w:p>
    <w:p w14:paraId="407DDE07">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1</w:t>
      </w:r>
      <w:r>
        <w:rPr>
          <w:rFonts w:hint="default" w:ascii="瀹嬩綋" w:hAnsi="瀹嬩綋" w:eastAsia="瀹嬩綋" w:cs="瀹嬩綋"/>
          <w:color w:val="000000"/>
          <w:kern w:val="0"/>
          <w:sz w:val="24"/>
          <w:szCs w:val="24"/>
          <w:lang w:val="en-US" w:eastAsia="zh-CN" w:bidi="ar"/>
        </w:rPr>
        <w:t xml:space="preserve">、永久基本农田保护红线 </w:t>
      </w:r>
    </w:p>
    <w:p w14:paraId="71A18225">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按照《土地法》、《基本农田保护条例》等的相关规定管理。 </w:t>
      </w:r>
    </w:p>
    <w:p w14:paraId="5142BB5E">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2</w:t>
      </w:r>
      <w:r>
        <w:rPr>
          <w:rFonts w:hint="default" w:ascii="瀹嬩綋" w:hAnsi="瀹嬩綋" w:eastAsia="瀹嬩綋" w:cs="瀹嬩綋"/>
          <w:color w:val="000000"/>
          <w:kern w:val="0"/>
          <w:sz w:val="24"/>
          <w:szCs w:val="24"/>
          <w:lang w:val="en-US" w:eastAsia="zh-CN" w:bidi="ar"/>
        </w:rPr>
        <w:t xml:space="preserve">、一般农业空间： </w:t>
      </w:r>
    </w:p>
    <w:p w14:paraId="010A174D">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default" w:ascii="瀹嬩綋" w:hAnsi="瀹嬩綋" w:eastAsia="瀹嬩綋" w:cs="瀹嬩綋"/>
          <w:color w:val="000000"/>
          <w:kern w:val="0"/>
          <w:sz w:val="24"/>
          <w:szCs w:val="24"/>
          <w:lang w:val="en-US" w:eastAsia="zh-CN" w:bidi="ar"/>
        </w:rPr>
        <w:t xml:space="preserve">）严格控制一般农业空间内的农用地转用，对质量等级较高的耕地、园地、林地等农用地 </w:t>
      </w:r>
    </w:p>
    <w:p w14:paraId="1D0F1F03">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实行优先保护。 </w:t>
      </w:r>
    </w:p>
    <w:p w14:paraId="2E82DF52">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default" w:ascii="瀹嬩綋" w:hAnsi="瀹嬩綋" w:eastAsia="瀹嬩綋" w:cs="瀹嬩綋"/>
          <w:color w:val="000000"/>
          <w:kern w:val="0"/>
          <w:sz w:val="24"/>
          <w:szCs w:val="24"/>
          <w:lang w:val="en-US" w:eastAsia="zh-CN" w:bidi="ar"/>
        </w:rPr>
        <w:t xml:space="preserve">）一般农业空间内禁止建窑、建房或者擅自挖沙、取土、堆放固体废弃物；禁止采矿建设； </w:t>
      </w:r>
    </w:p>
    <w:p w14:paraId="7B8E38F8">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禁止三类工业及涉及有毒有害物质排放的工业新建、改建、扩建，现有企业应逐步关闭搬迁；禁止 </w:t>
      </w:r>
    </w:p>
    <w:p w14:paraId="2ED1F6DC">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二类工业新建、扩建，现有项目改建只能在原址进行，并须符合环保部门污染物排放总量控制要求； </w:t>
      </w:r>
    </w:p>
    <w:p w14:paraId="73066E15">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各地可根据当地实际情况制定一般农业空间产业准入负面清单。 </w:t>
      </w:r>
    </w:p>
    <w:p w14:paraId="7514B4A4">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default" w:ascii="瀹嬩綋" w:hAnsi="瀹嬩綋" w:eastAsia="瀹嬩綋" w:cs="瀹嬩綋"/>
          <w:color w:val="000000"/>
          <w:kern w:val="0"/>
          <w:sz w:val="24"/>
          <w:szCs w:val="24"/>
          <w:lang w:val="en-US" w:eastAsia="zh-CN" w:bidi="ar"/>
        </w:rPr>
        <w:t xml:space="preserve">）从严控制一般农业空间转为城镇空间，加强建设活动的监督管理，经批准建设占用区内 </w:t>
      </w:r>
    </w:p>
    <w:p w14:paraId="1D923241">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耕地，需按照“耕地占补平衡”原则，补充数量和质量相当的耕地。 </w:t>
      </w:r>
    </w:p>
    <w:p w14:paraId="13699866">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default" w:ascii="瀹嬩綋" w:hAnsi="瀹嬩綋" w:eastAsia="瀹嬩綋" w:cs="瀹嬩綋"/>
          <w:color w:val="000000"/>
          <w:kern w:val="0"/>
          <w:sz w:val="24"/>
          <w:szCs w:val="24"/>
          <w:lang w:val="en-US" w:eastAsia="zh-CN" w:bidi="ar"/>
        </w:rPr>
        <w:t xml:space="preserve">）一般农业空间内的建设活动以盘活存量、优化结构为主，严格控制增量，增量利用应发挥农业生产功能为导向；鼓励一般农业空间内的废弃工矿和闲置宅基地复垦为农用地，引导宅基地 </w:t>
      </w:r>
    </w:p>
    <w:p w14:paraId="076A640D">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自愿有偿退出；对未利用地和废弃工矿、宅基地等规划用地开垦或复垦为耕地的，不得改作其他用 途，对新增的耕地应加强管理。 </w:t>
      </w:r>
    </w:p>
    <w:p w14:paraId="59B4D49B">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default" w:ascii="瀹嬩綋" w:hAnsi="瀹嬩綋" w:eastAsia="瀹嬩綋" w:cs="瀹嬩綋"/>
          <w:color w:val="000000"/>
          <w:kern w:val="0"/>
          <w:sz w:val="24"/>
          <w:szCs w:val="24"/>
          <w:lang w:val="en-US" w:eastAsia="zh-CN" w:bidi="ar"/>
        </w:rPr>
        <w:t xml:space="preserve">）对于一般农业空间内属农业生产过程中所需各类生产设施和附属设施用地，以及由于农 </w:t>
      </w:r>
    </w:p>
    <w:p w14:paraId="42BC141F">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业规模经营必须兴建的配套设施，在不占用永久基本农田的前提下，纳入设施农用地管理。设施农 </w:t>
      </w:r>
    </w:p>
    <w:p w14:paraId="00B020B0">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用地使用按规定由乡镇政府（街道办事处）、村委会（农村集体经济组织）和经营主体三方共同签 </w:t>
      </w:r>
    </w:p>
    <w:p w14:paraId="3207A561">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订用地协议并报县级备案，不需要办理农用地转用审批。 </w:t>
      </w:r>
    </w:p>
    <w:p w14:paraId="06F4AF86">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6</w:t>
      </w:r>
      <w:r>
        <w:rPr>
          <w:rFonts w:hint="default" w:ascii="瀹嬩綋" w:hAnsi="瀹嬩綋" w:eastAsia="瀹嬩綋" w:cs="瀹嬩綋"/>
          <w:color w:val="000000"/>
          <w:kern w:val="0"/>
          <w:sz w:val="24"/>
          <w:szCs w:val="24"/>
          <w:lang w:val="en-US" w:eastAsia="zh-CN" w:bidi="ar"/>
        </w:rPr>
        <w:t xml:space="preserve">）允许符合要求的零星建设项目用地使用预留的机动指标，待建设项目规划审批时落地机 </w:t>
      </w:r>
    </w:p>
    <w:p w14:paraId="41D676DD">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动指标、明确规划用地性质。 </w:t>
      </w:r>
    </w:p>
    <w:p w14:paraId="52FC0B51">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7</w:t>
      </w:r>
      <w:r>
        <w:rPr>
          <w:rFonts w:hint="default" w:ascii="瀹嬩綋" w:hAnsi="瀹嬩綋" w:eastAsia="瀹嬩綋" w:cs="瀹嬩綋"/>
          <w:color w:val="000000"/>
          <w:kern w:val="0"/>
          <w:sz w:val="24"/>
          <w:szCs w:val="24"/>
          <w:lang w:val="en-US" w:eastAsia="zh-CN" w:bidi="ar"/>
        </w:rPr>
        <w:t xml:space="preserve">）允许实施农林复合利用，但严禁挖湖造景等行为。 </w:t>
      </w:r>
    </w:p>
    <w:p w14:paraId="08976F90">
      <w:pPr>
        <w:keepNext w:val="0"/>
        <w:keepLines w:val="0"/>
        <w:widowControl/>
        <w:suppressLineNumbers w:val="0"/>
        <w:jc w:val="left"/>
      </w:pPr>
      <w:r>
        <w:rPr>
          <w:rFonts w:hint="default" w:ascii="瀹嬩綋" w:hAnsi="瀹嬩綋" w:eastAsia="瀹嬩綋" w:cs="瀹嬩綋"/>
          <w:b/>
          <w:bCs/>
          <w:color w:val="000000"/>
          <w:kern w:val="0"/>
          <w:sz w:val="32"/>
          <w:szCs w:val="32"/>
          <w:lang w:val="en-US" w:eastAsia="zh-CN" w:bidi="ar"/>
        </w:rPr>
        <w:t xml:space="preserve">三、生态空间管控规则 </w:t>
      </w:r>
    </w:p>
    <w:p w14:paraId="1F931B3C">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1</w:t>
      </w:r>
      <w:r>
        <w:rPr>
          <w:rFonts w:hint="default" w:ascii="瀹嬩綋" w:hAnsi="瀹嬩綋" w:eastAsia="瀹嬩綋" w:cs="瀹嬩綋"/>
          <w:color w:val="000000"/>
          <w:kern w:val="0"/>
          <w:sz w:val="24"/>
          <w:szCs w:val="24"/>
          <w:lang w:val="en-US" w:eastAsia="zh-CN" w:bidi="ar"/>
        </w:rPr>
        <w:t xml:space="preserve">、生态保护红线 </w:t>
      </w:r>
    </w:p>
    <w:p w14:paraId="3219456F">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严格执行生态保护红线相关管控规定。 </w:t>
      </w:r>
    </w:p>
    <w:p w14:paraId="106FD0B5">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2</w:t>
      </w:r>
      <w:r>
        <w:rPr>
          <w:rFonts w:hint="default" w:ascii="瀹嬩綋" w:hAnsi="瀹嬩綋" w:eastAsia="瀹嬩綋" w:cs="瀹嬩綋"/>
          <w:color w:val="000000"/>
          <w:kern w:val="0"/>
          <w:sz w:val="24"/>
          <w:szCs w:val="24"/>
          <w:lang w:val="en-US" w:eastAsia="zh-CN" w:bidi="ar"/>
        </w:rPr>
        <w:t xml:space="preserve">、一般生态空间 </w:t>
      </w:r>
    </w:p>
    <w:p w14:paraId="49BA0E2A">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default" w:ascii="瀹嬩綋" w:hAnsi="瀹嬩綋" w:eastAsia="瀹嬩綋" w:cs="瀹嬩綋"/>
          <w:color w:val="000000"/>
          <w:kern w:val="0"/>
          <w:sz w:val="24"/>
          <w:szCs w:val="24"/>
          <w:lang w:val="en-US" w:eastAsia="zh-CN" w:bidi="ar"/>
        </w:rPr>
        <w:t xml:space="preserve">）一般生态空间原则上按限制开发区的要求进行管理，严格实行区域准入和用途转用许可 制度。对一般生态空间内风景名胜区、森林公园、饮用水水源保护区等各类保护地的管理。法律法规和规章另有规定的，从其规定。 </w:t>
      </w:r>
    </w:p>
    <w:p w14:paraId="20790097">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default" w:ascii="瀹嬩綋" w:hAnsi="瀹嬩綋" w:eastAsia="瀹嬩綋" w:cs="瀹嬩綋"/>
          <w:color w:val="000000"/>
          <w:kern w:val="0"/>
          <w:sz w:val="24"/>
          <w:szCs w:val="24"/>
          <w:lang w:val="en-US" w:eastAsia="zh-CN" w:bidi="ar"/>
        </w:rPr>
        <w:t xml:space="preserve">）严格控制各类开发活动占用、破坏。禁止新建、扩建、改建除农村一二三产业融合以外的工业项目；禁止房地产开发活动；禁止违规毁林开荒、围湖造田、侵占滩涂湿地；禁止新、改、扩建对生态环境安全有影响的矿产资源开发项目；各地可根据当地实际情况制定一般生态空间产业准 入负面清单。 </w:t>
      </w:r>
    </w:p>
    <w:p w14:paraId="6D345E69">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default" w:ascii="瀹嬩綋" w:hAnsi="瀹嬩綋" w:eastAsia="瀹嬩綋" w:cs="瀹嬩綋"/>
          <w:color w:val="000000"/>
          <w:kern w:val="0"/>
          <w:sz w:val="24"/>
          <w:szCs w:val="24"/>
          <w:lang w:val="en-US" w:eastAsia="zh-CN" w:bidi="ar"/>
        </w:rPr>
        <w:t xml:space="preserve">）从严控制建设开发和农业利用强度，从严控制生态用地向农业用地、城镇用地转用；一 </w:t>
      </w:r>
    </w:p>
    <w:p w14:paraId="20C0792D">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般生态空间内的建设活动以盘活存量、优化结构为主，严格控制增量，增量利用应发挥生态服务功能为导向。 </w:t>
      </w:r>
    </w:p>
    <w:p w14:paraId="5791B52B">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default" w:ascii="瀹嬩綋" w:hAnsi="瀹嬩綋" w:eastAsia="瀹嬩綋" w:cs="瀹嬩綋"/>
          <w:color w:val="000000"/>
          <w:kern w:val="0"/>
          <w:sz w:val="24"/>
          <w:szCs w:val="24"/>
          <w:lang w:val="en-US" w:eastAsia="zh-CN" w:bidi="ar"/>
        </w:rPr>
        <w:t xml:space="preserve">）鼓励农村生活、生产类建设用地逐步退出，鼓励农业用地、城镇用地向生态用地转用，鼓励结合土地综合整治、工矿废弃地复垦利用、矿山环境恢复治理等各类工程实施，因地制宜促进生态空间内建设用地逐步有序退出。 </w:t>
      </w:r>
    </w:p>
    <w:p w14:paraId="0B40444A">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default" w:ascii="瀹嬩綋" w:hAnsi="瀹嬩綋" w:eastAsia="瀹嬩綋" w:cs="瀹嬩綋"/>
          <w:color w:val="000000"/>
          <w:kern w:val="0"/>
          <w:sz w:val="24"/>
          <w:szCs w:val="24"/>
          <w:lang w:val="en-US" w:eastAsia="zh-CN" w:bidi="ar"/>
        </w:rPr>
        <w:t xml:space="preserve">）加强生态修复监督管理，集体土地所有者、土地使用单位和个人应认真履行有关法定义务，及时恢复因不合理建设开发、矿产开采、农业开垦等破坏的一般生态空间。 </w:t>
      </w:r>
    </w:p>
    <w:p w14:paraId="5E71647E">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6</w:t>
      </w:r>
      <w:r>
        <w:rPr>
          <w:rFonts w:hint="default" w:ascii="瀹嬩綋" w:hAnsi="瀹嬩綋" w:eastAsia="瀹嬩綋" w:cs="瀹嬩綋"/>
          <w:color w:val="000000"/>
          <w:kern w:val="0"/>
          <w:sz w:val="24"/>
          <w:szCs w:val="24"/>
          <w:lang w:val="en-US" w:eastAsia="zh-CN" w:bidi="ar"/>
        </w:rPr>
        <w:t xml:space="preserve">）允许农业复合利用，控制农业开发强度，减少农药、化肥投入，实行休耕和种植结构调整，发展生态农业、绿色农业；鼓励 </w:t>
      </w:r>
      <w:r>
        <w:rPr>
          <w:rFonts w:hint="default" w:ascii="Times New Roman" w:hAnsi="Times New Roman" w:eastAsia="宋体" w:cs="Times New Roman"/>
          <w:color w:val="000000"/>
          <w:kern w:val="0"/>
          <w:sz w:val="24"/>
          <w:szCs w:val="24"/>
          <w:lang w:val="en-US" w:eastAsia="zh-CN" w:bidi="ar"/>
        </w:rPr>
        <w:t xml:space="preserve">25 </w:t>
      </w:r>
      <w:r>
        <w:rPr>
          <w:rFonts w:hint="default" w:ascii="瀹嬩綋" w:hAnsi="瀹嬩綋" w:eastAsia="瀹嬩綋" w:cs="瀹嬩綋"/>
          <w:color w:val="000000"/>
          <w:kern w:val="0"/>
          <w:sz w:val="24"/>
          <w:szCs w:val="24"/>
          <w:lang w:val="en-US" w:eastAsia="zh-CN" w:bidi="ar"/>
        </w:rPr>
        <w:t xml:space="preserve">度以上的坡耕地逐步实施退耕，加强生态保护与建设，提 升区域生态服务功能；在不损害生态功能的前提下，因地制宜地适度发展旅游、农林牧产品生产和 加工等产业。 </w:t>
      </w:r>
    </w:p>
    <w:p w14:paraId="450E9CC1">
      <w:pPr>
        <w:keepNext w:val="0"/>
        <w:keepLines w:val="0"/>
        <w:widowControl/>
        <w:suppressLineNumbers w:val="0"/>
        <w:jc w:val="left"/>
      </w:pPr>
      <w:r>
        <w:rPr>
          <w:rFonts w:hint="default" w:ascii="瀹嬩綋" w:hAnsi="瀹嬩綋" w:eastAsia="瀹嬩綋" w:cs="瀹嬩綋"/>
          <w:b/>
          <w:bCs/>
          <w:color w:val="000000"/>
          <w:kern w:val="0"/>
          <w:sz w:val="32"/>
          <w:szCs w:val="32"/>
          <w:lang w:val="en-US" w:eastAsia="zh-CN" w:bidi="ar"/>
        </w:rPr>
        <w:t xml:space="preserve">四、建设空间管控规则 </w:t>
      </w:r>
    </w:p>
    <w:p w14:paraId="665DE5B8">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1</w:t>
      </w:r>
      <w:r>
        <w:rPr>
          <w:rFonts w:hint="default" w:ascii="瀹嬩綋" w:hAnsi="瀹嬩綋" w:eastAsia="瀹嬩綋" w:cs="瀹嬩綋"/>
          <w:color w:val="000000"/>
          <w:kern w:val="0"/>
          <w:sz w:val="24"/>
          <w:szCs w:val="24"/>
          <w:lang w:val="en-US" w:eastAsia="zh-CN" w:bidi="ar"/>
        </w:rPr>
        <w:t xml:space="preserve">、村庄建设边界 </w:t>
      </w:r>
    </w:p>
    <w:p w14:paraId="46553D34">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规划期内村庄建设边界原则上不得调整，如需调整按规划修改处理，严格论证，报原审批机关 批准。 </w:t>
      </w:r>
    </w:p>
    <w:p w14:paraId="36BD624C">
      <w:pPr>
        <w:keepNext w:val="0"/>
        <w:keepLines w:val="0"/>
        <w:widowControl/>
        <w:suppressLineNumbers w:val="0"/>
        <w:jc w:val="left"/>
        <w:rPr>
          <w:rFonts w:hint="default" w:ascii="瀹嬩綋" w:hAnsi="瀹嬩綋" w:eastAsia="瀹嬩綋" w:cs="瀹嬩綋"/>
          <w:color w:val="000000"/>
          <w:kern w:val="0"/>
          <w:sz w:val="24"/>
          <w:szCs w:val="24"/>
          <w:lang w:val="en-US" w:eastAsia="zh-CN" w:bidi="ar"/>
        </w:rPr>
        <w:sectPr>
          <w:type w:val="continuous"/>
          <w:pgSz w:w="23811" w:h="16838" w:orient="landscape"/>
          <w:pgMar w:top="1800" w:right="1440" w:bottom="1800" w:left="1440" w:header="851" w:footer="992" w:gutter="0"/>
          <w:cols w:equalWidth="0" w:num="2">
            <w:col w:w="10253" w:space="425"/>
            <w:col w:w="10253"/>
          </w:cols>
          <w:docGrid w:type="lines" w:linePitch="312" w:charSpace="0"/>
        </w:sectPr>
      </w:pPr>
    </w:p>
    <w:p w14:paraId="5F7E8F8A">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有序推进空心村整治和村庄迁并，合理安排农村建设用地，优先满足村民住房和农村基本公共 </w:t>
      </w:r>
    </w:p>
    <w:p w14:paraId="583B0B95">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服务设施用地需求。适度允许区域性基础设施建设、生态环境保护工程配套、生态旅游开发及特殊 </w:t>
      </w:r>
    </w:p>
    <w:p w14:paraId="155EBD16">
      <w:pPr>
        <w:keepNext w:val="0"/>
        <w:keepLines w:val="0"/>
        <w:widowControl/>
        <w:suppressLineNumbers w:val="0"/>
        <w:ind w:left="0" w:leftChars="0" w:firstLine="0" w:firstLineChars="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用地建设，严格控制开发强度和非农活动影响范围。 建筑退距、建筑间距、建设风貌应当执行相应</w:t>
      </w:r>
    </w:p>
    <w:p w14:paraId="3EA636D3">
      <w:pPr>
        <w:keepNext w:val="0"/>
        <w:keepLines w:val="0"/>
        <w:widowControl/>
        <w:suppressLineNumbers w:val="0"/>
        <w:ind w:left="0" w:leftChars="0" w:firstLine="0" w:firstLineChars="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的管控要求。</w:t>
      </w:r>
    </w:p>
    <w:p w14:paraId="43141687">
      <w:pPr>
        <w:keepNext w:val="0"/>
        <w:keepLines w:val="0"/>
        <w:widowControl/>
        <w:numPr>
          <w:ilvl w:val="0"/>
          <w:numId w:val="2"/>
        </w:numPr>
        <w:suppressLineNumbers w:val="0"/>
        <w:ind w:left="0" w:leftChars="0" w:firstLine="480" w:firstLineChars="20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 xml:space="preserve">零星建设用地 </w:t>
      </w:r>
    </w:p>
    <w:p w14:paraId="1010B24A">
      <w:pPr>
        <w:keepNext w:val="0"/>
        <w:keepLines w:val="0"/>
        <w:widowControl/>
        <w:suppressLineNumbers w:val="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指为改善村民生活条件，支持农村新产业新业态和产业融合发展，零星分布的农村公共公益设</w:t>
      </w:r>
    </w:p>
    <w:p w14:paraId="1479C513">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施、乡村旅游设施等建设项目用地。 </w:t>
      </w:r>
    </w:p>
    <w:p w14:paraId="77F45717">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default" w:ascii="瀹嬩綋" w:hAnsi="瀹嬩綋" w:eastAsia="瀹嬩綋" w:cs="瀹嬩綋"/>
          <w:color w:val="000000"/>
          <w:kern w:val="0"/>
          <w:sz w:val="24"/>
          <w:szCs w:val="24"/>
          <w:lang w:val="en-US" w:eastAsia="zh-CN" w:bidi="ar"/>
        </w:rPr>
        <w:t xml:space="preserve">）在建设用地总量不突破、不占用永久基本农田和生态保护红线的前提下，可将村庄规划 </w:t>
      </w:r>
    </w:p>
    <w:p w14:paraId="7C5DBBF0">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中预留的 </w:t>
      </w:r>
      <w:r>
        <w:rPr>
          <w:rFonts w:hint="default" w:ascii="Times New Roman" w:hAnsi="Times New Roman" w:eastAsia="宋体" w:cs="Times New Roman"/>
          <w:color w:val="000000"/>
          <w:kern w:val="0"/>
          <w:sz w:val="24"/>
          <w:szCs w:val="24"/>
          <w:lang w:val="en-US" w:eastAsia="zh-CN" w:bidi="ar"/>
        </w:rPr>
        <w:t>5%</w:t>
      </w:r>
      <w:r>
        <w:rPr>
          <w:rFonts w:hint="default" w:ascii="瀹嬩綋" w:hAnsi="瀹嬩綋" w:eastAsia="瀹嬩綋" w:cs="瀹嬩綋"/>
          <w:color w:val="000000"/>
          <w:kern w:val="0"/>
          <w:sz w:val="24"/>
          <w:szCs w:val="24"/>
          <w:lang w:val="en-US" w:eastAsia="zh-CN" w:bidi="ar"/>
        </w:rPr>
        <w:t xml:space="preserve">机动指标用于零星建设项目用地。 </w:t>
      </w:r>
    </w:p>
    <w:p w14:paraId="660641C5">
      <w:pPr>
        <w:keepNext w:val="0"/>
        <w:keepLines w:val="0"/>
        <w:widowControl/>
        <w:numPr>
          <w:ilvl w:val="0"/>
          <w:numId w:val="3"/>
        </w:numPr>
        <w:suppressLineNumbers w:val="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项目准入采取清单式管理，应符合国家与省市政策要求，同时符合县市负面清单管制要</w:t>
      </w:r>
    </w:p>
    <w:p w14:paraId="46C1375D">
      <w:pPr>
        <w:keepNext w:val="0"/>
        <w:keepLines w:val="0"/>
        <w:widowControl/>
        <w:numPr>
          <w:ilvl w:val="0"/>
          <w:numId w:val="0"/>
        </w:numPr>
        <w:suppressLineNumbers w:val="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 xml:space="preserve">求。优先保障村庄发展重点项目用地需求。 </w:t>
      </w:r>
    </w:p>
    <w:p w14:paraId="08801F33">
      <w:pPr>
        <w:keepNext w:val="0"/>
        <w:keepLines w:val="0"/>
        <w:widowControl/>
        <w:numPr>
          <w:ilvl w:val="0"/>
          <w:numId w:val="3"/>
        </w:numPr>
        <w:suppressLineNumbers w:val="0"/>
        <w:jc w:val="left"/>
      </w:pPr>
      <w:r>
        <w:rPr>
          <w:rFonts w:hint="default" w:ascii="瀹嬩綋" w:hAnsi="瀹嬩綋" w:eastAsia="瀹嬩綋" w:cs="瀹嬩綋"/>
          <w:color w:val="000000"/>
          <w:kern w:val="0"/>
          <w:sz w:val="24"/>
          <w:szCs w:val="24"/>
          <w:lang w:val="en-US" w:eastAsia="zh-CN" w:bidi="ar"/>
        </w:rPr>
        <w:t>准入项目的建设用地，用地选址应符合一般生态、农业空间管制要求及相关部门管理政</w:t>
      </w:r>
    </w:p>
    <w:p w14:paraId="135A28C6">
      <w:pPr>
        <w:keepNext w:val="0"/>
        <w:keepLines w:val="0"/>
        <w:widowControl/>
        <w:numPr>
          <w:ilvl w:val="0"/>
          <w:numId w:val="0"/>
        </w:numPr>
        <w:suppressLineNumbers w:val="0"/>
        <w:jc w:val="left"/>
      </w:pPr>
      <w:r>
        <w:rPr>
          <w:rFonts w:hint="default" w:ascii="瀹嬩綋" w:hAnsi="瀹嬩綋" w:eastAsia="瀹嬩綋" w:cs="瀹嬩綋"/>
          <w:color w:val="000000"/>
          <w:kern w:val="0"/>
          <w:sz w:val="24"/>
          <w:szCs w:val="24"/>
          <w:lang w:val="en-US" w:eastAsia="zh-CN" w:bidi="ar"/>
        </w:rPr>
        <w:t xml:space="preserve">策与标准要求。 </w:t>
      </w:r>
    </w:p>
    <w:p w14:paraId="71D05278">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3</w:t>
      </w:r>
      <w:r>
        <w:rPr>
          <w:rFonts w:hint="default" w:ascii="瀹嬩綋" w:hAnsi="瀹嬩綋" w:eastAsia="瀹嬩綋" w:cs="瀹嬩綋"/>
          <w:color w:val="000000"/>
          <w:kern w:val="0"/>
          <w:sz w:val="24"/>
          <w:szCs w:val="24"/>
          <w:lang w:val="en-US" w:eastAsia="zh-CN" w:bidi="ar"/>
        </w:rPr>
        <w:t xml:space="preserve">、特殊用地 </w:t>
      </w:r>
    </w:p>
    <w:p w14:paraId="40A699EE">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任何单位和个人未经批准，不得擅自兴建殡葬设施。具体参照《殡葬管理条例》、《福建省殡 </w:t>
      </w:r>
    </w:p>
    <w:p w14:paraId="5296C35B">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葬管理办法》等相关要求执行。乡村公益性殡葬设施可采取集中性骨灰堂、集中性墓地公园，严格 </w:t>
      </w:r>
    </w:p>
    <w:p w14:paraId="10B02ABF">
      <w:pPr>
        <w:keepNext w:val="0"/>
        <w:keepLines w:val="0"/>
        <w:widowControl/>
        <w:suppressLineNumbers w:val="0"/>
        <w:ind w:left="0" w:leftChars="0" w:firstLine="0" w:firstLineChars="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限制公墓墓位占地面积、墓碑高度和使用期限，安葬骨灰的单人墓或者双人合葬墓硬化面积不得超</w:t>
      </w:r>
    </w:p>
    <w:p w14:paraId="1F0FA22C">
      <w:pPr>
        <w:keepNext w:val="0"/>
        <w:keepLines w:val="0"/>
        <w:widowControl/>
        <w:suppressLineNumbers w:val="0"/>
        <w:ind w:left="0" w:leftChars="0" w:firstLine="0" w:firstLineChars="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 xml:space="preserve">过 </w:t>
      </w:r>
      <w:r>
        <w:rPr>
          <w:rFonts w:hint="default" w:ascii="Times New Roman" w:hAnsi="Times New Roman" w:eastAsia="宋体" w:cs="Times New Roman"/>
          <w:color w:val="000000"/>
          <w:kern w:val="0"/>
          <w:sz w:val="24"/>
          <w:szCs w:val="24"/>
          <w:lang w:val="en-US" w:eastAsia="zh-CN" w:bidi="ar"/>
        </w:rPr>
        <w:t xml:space="preserve">1 </w:t>
      </w:r>
      <w:r>
        <w:rPr>
          <w:rFonts w:hint="default" w:ascii="瀹嬩綋" w:hAnsi="瀹嬩綋" w:eastAsia="瀹嬩綋" w:cs="瀹嬩綋"/>
          <w:color w:val="000000"/>
          <w:kern w:val="0"/>
          <w:sz w:val="24"/>
          <w:szCs w:val="24"/>
          <w:lang w:val="en-US" w:eastAsia="zh-CN" w:bidi="ar"/>
        </w:rPr>
        <w:t xml:space="preserve">平方米，园地绿化面积占总面积不得低于 </w:t>
      </w:r>
      <w:r>
        <w:rPr>
          <w:rFonts w:hint="default" w:ascii="Times New Roman" w:hAnsi="Times New Roman" w:eastAsia="宋体" w:cs="Times New Roman"/>
          <w:color w:val="000000"/>
          <w:kern w:val="0"/>
          <w:sz w:val="24"/>
          <w:szCs w:val="24"/>
          <w:lang w:val="en-US" w:eastAsia="zh-CN" w:bidi="ar"/>
        </w:rPr>
        <w:t>35%</w:t>
      </w:r>
      <w:r>
        <w:rPr>
          <w:rFonts w:hint="default" w:ascii="瀹嬩綋" w:hAnsi="瀹嬩綋" w:eastAsia="瀹嬩綋" w:cs="瀹嬩綋"/>
          <w:color w:val="000000"/>
          <w:kern w:val="0"/>
          <w:sz w:val="24"/>
          <w:szCs w:val="24"/>
          <w:lang w:val="en-US" w:eastAsia="zh-CN" w:bidi="ar"/>
        </w:rPr>
        <w:t xml:space="preserve">，墓碑高度不得超过地面 </w:t>
      </w:r>
      <w:r>
        <w:rPr>
          <w:rFonts w:hint="default" w:ascii="Times New Roman" w:hAnsi="Times New Roman" w:eastAsia="宋体" w:cs="Times New Roman"/>
          <w:color w:val="000000"/>
          <w:kern w:val="0"/>
          <w:sz w:val="24"/>
          <w:szCs w:val="24"/>
          <w:lang w:val="en-US" w:eastAsia="zh-CN" w:bidi="ar"/>
        </w:rPr>
        <w:t xml:space="preserve">0.8 </w:t>
      </w:r>
      <w:r>
        <w:rPr>
          <w:rFonts w:hint="default" w:ascii="瀹嬩綋" w:hAnsi="瀹嬩綋" w:eastAsia="瀹嬩綋" w:cs="瀹嬩綋"/>
          <w:color w:val="000000"/>
          <w:kern w:val="0"/>
          <w:sz w:val="24"/>
          <w:szCs w:val="24"/>
          <w:lang w:val="en-US" w:eastAsia="zh-CN" w:bidi="ar"/>
        </w:rPr>
        <w:t>米。引导农村地</w:t>
      </w:r>
    </w:p>
    <w:p w14:paraId="5C502E92">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区树立新的丧葬观念，提倡采取树葬、海葬等新生态方式。 </w:t>
      </w:r>
    </w:p>
    <w:p w14:paraId="11E90F8B">
      <w:pPr>
        <w:keepNext w:val="0"/>
        <w:keepLines w:val="0"/>
        <w:widowControl/>
        <w:suppressLineNumbers w:val="0"/>
        <w:jc w:val="left"/>
        <w:rPr>
          <w:rFonts w:hint="default" w:ascii="瀹嬩綋" w:hAnsi="瀹嬩綋" w:eastAsia="瀹嬩綋" w:cs="瀹嬩綋"/>
          <w:color w:val="000000"/>
          <w:kern w:val="0"/>
          <w:sz w:val="24"/>
          <w:szCs w:val="24"/>
          <w:lang w:val="en-US" w:eastAsia="zh-CN" w:bidi="ar"/>
        </w:rPr>
        <w:sectPr>
          <w:type w:val="continuous"/>
          <w:pgSz w:w="23811" w:h="16838" w:orient="landscape"/>
          <w:pgMar w:top="1800" w:right="1440" w:bottom="1800" w:left="1440" w:header="851" w:footer="992" w:gutter="0"/>
          <w:cols w:space="425" w:num="1"/>
          <w:docGrid w:type="lines" w:linePitch="312" w:charSpace="0"/>
        </w:sectPr>
      </w:pPr>
      <w:r>
        <w:rPr>
          <w:rFonts w:hint="default" w:ascii="瀹嬩綋" w:hAnsi="瀹嬩綋" w:eastAsia="瀹嬩綋" w:cs="瀹嬩綋"/>
          <w:color w:val="000000"/>
          <w:kern w:val="0"/>
          <w:sz w:val="24"/>
          <w:szCs w:val="24"/>
          <w:lang w:val="en-US" w:eastAsia="zh-CN" w:bidi="ar"/>
        </w:rPr>
        <w:t>能源、军事等其他村庄特殊用地管控参照相关法律法规与标准规范要求执行。</w:t>
      </w:r>
    </w:p>
    <w:p w14:paraId="7CCD56F1">
      <w:pPr>
        <w:keepNext w:val="0"/>
        <w:keepLines w:val="0"/>
        <w:widowControl/>
        <w:suppressLineNumbers w:val="0"/>
        <w:jc w:val="left"/>
        <w:rPr>
          <w:rFonts w:hint="default" w:ascii="瀹嬩綋" w:hAnsi="瀹嬩綋" w:eastAsia="瀹嬩綋" w:cs="瀹嬩綋"/>
          <w:color w:val="000000"/>
          <w:kern w:val="0"/>
          <w:sz w:val="24"/>
          <w:szCs w:val="24"/>
          <w:lang w:val="en-US" w:eastAsia="zh-CN" w:bidi="ar"/>
        </w:rPr>
      </w:pPr>
    </w:p>
    <w:p w14:paraId="62D4CBBB">
      <w:pPr>
        <w:keepNext w:val="0"/>
        <w:keepLines w:val="0"/>
        <w:widowControl/>
        <w:suppressLineNumbers w:val="0"/>
        <w:jc w:val="left"/>
        <w:rPr>
          <w:rFonts w:ascii="瀹嬩綋" w:hAnsi="瀹嬩綋" w:eastAsia="瀹嬩綋" w:cs="瀹嬩綋"/>
          <w:b/>
          <w:bCs/>
          <w:color w:val="000000"/>
          <w:kern w:val="0"/>
          <w:sz w:val="32"/>
          <w:szCs w:val="32"/>
          <w:lang w:val="en-US" w:eastAsia="zh-CN" w:bidi="ar"/>
        </w:rPr>
        <w:sectPr>
          <w:type w:val="continuous"/>
          <w:pgSz w:w="23811" w:h="16838" w:orient="landscape"/>
          <w:pgMar w:top="1800" w:right="1440" w:bottom="1800" w:left="1440" w:header="851" w:footer="992" w:gutter="0"/>
          <w:cols w:equalWidth="0" w:num="2">
            <w:col w:w="10253" w:space="425"/>
            <w:col w:w="10253"/>
          </w:cols>
          <w:docGrid w:type="lines" w:linePitch="312" w:charSpace="0"/>
        </w:sectPr>
      </w:pPr>
    </w:p>
    <w:p w14:paraId="4368C89D">
      <w:pPr>
        <w:keepNext w:val="0"/>
        <w:keepLines w:val="0"/>
        <w:widowControl/>
        <w:suppressLineNumbers w:val="0"/>
        <w:ind w:left="0" w:leftChars="0" w:firstLine="0" w:firstLineChars="0"/>
        <w:jc w:val="left"/>
        <w:rPr>
          <w:rFonts w:hint="default" w:eastAsia="宋体" w:asciiTheme="minorHAnsi" w:hAnsiTheme="minorHAnsi" w:cstheme="minorBidi"/>
          <w:b/>
          <w:kern w:val="2"/>
          <w:sz w:val="32"/>
          <w:szCs w:val="22"/>
          <w:lang w:val="en-US" w:eastAsia="zh-CN" w:bidi="ar-SA"/>
        </w:rPr>
      </w:pPr>
    </w:p>
    <w:p w14:paraId="2A534315">
      <w:pPr>
        <w:sectPr>
          <w:type w:val="continuous"/>
          <w:pgSz w:w="23811" w:h="16838" w:orient="landscape"/>
          <w:pgMar w:top="1800" w:right="1440" w:bottom="1800" w:left="1440" w:header="851" w:footer="992" w:gutter="0"/>
          <w:cols w:equalWidth="0" w:num="2">
            <w:col w:w="10253" w:space="425"/>
            <w:col w:w="10253"/>
          </w:cols>
          <w:docGrid w:type="lines" w:linePitch="312" w:charSpace="0"/>
        </w:sectPr>
      </w:pPr>
    </w:p>
    <w:p w14:paraId="22E12292"/>
    <w:sectPr>
      <w:type w:val="continuous"/>
      <w:pgSz w:w="23811" w:h="16838"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瀹嬩綋">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MiSans">
    <w:panose1 w:val="00000000000000000000"/>
    <w:charset w:val="86"/>
    <w:family w:val="auto"/>
    <w:pitch w:val="default"/>
    <w:sig w:usb0="E10002FF" w:usb1="28CFFCFB" w:usb2="00000016"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36" w:lineRule="auto"/>
        <w:ind w:firstLine="480"/>
      </w:pPr>
      <w:r>
        <w:separator/>
      </w:r>
    </w:p>
  </w:footnote>
  <w:footnote w:type="continuationSeparator" w:id="1">
    <w:p>
      <w:pPr>
        <w:spacing w:line="336"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83BA9D"/>
    <w:multiLevelType w:val="multilevel"/>
    <w:tmpl w:val="3583BA9D"/>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lvlRestart w:val="0"/>
      <w:suff w:val="nothing"/>
      <w:lvlText w:val="第%2条　"/>
      <w:lvlJc w:val="left"/>
      <w:pPr>
        <w:ind w:left="0" w:firstLine="402"/>
      </w:pPr>
      <w:rPr>
        <w:rFonts w:hint="eastAsia"/>
      </w:rPr>
    </w:lvl>
    <w:lvl w:ilvl="2" w:tentative="0">
      <w:start w:val="1"/>
      <w:numFmt w:val="chineseCounting"/>
      <w:suff w:val="nothing"/>
      <w:lvlText w:val="（%3）"/>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
    <w:nsid w:val="35C97066"/>
    <w:multiLevelType w:val="singleLevel"/>
    <w:tmpl w:val="35C97066"/>
    <w:lvl w:ilvl="0" w:tentative="0">
      <w:start w:val="2"/>
      <w:numFmt w:val="decimal"/>
      <w:suff w:val="nothing"/>
      <w:lvlText w:val="（%1）"/>
      <w:lvlJc w:val="left"/>
    </w:lvl>
  </w:abstractNum>
  <w:abstractNum w:abstractNumId="2">
    <w:nsid w:val="7E0E5339"/>
    <w:multiLevelType w:val="singleLevel"/>
    <w:tmpl w:val="7E0E5339"/>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C815FB"/>
    <w:rsid w:val="135A3A89"/>
    <w:rsid w:val="3BD928A2"/>
    <w:rsid w:val="50566E65"/>
    <w:rsid w:val="52C815FB"/>
    <w:rsid w:val="68A94E4C"/>
    <w:rsid w:val="698A5F46"/>
    <w:rsid w:val="73F53E42"/>
    <w:rsid w:val="7837747B"/>
    <w:rsid w:val="7E965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36" w:lineRule="auto"/>
      <w:ind w:firstLine="200" w:firstLineChars="200"/>
      <w:jc w:val="both"/>
    </w:pPr>
    <w:rPr>
      <w:rFonts w:ascii="Times New Roman" w:hAnsi="Times New Roman" w:eastAsia="宋体" w:cstheme="minorBidi"/>
      <w:kern w:val="2"/>
      <w:sz w:val="24"/>
      <w:szCs w:val="22"/>
      <w:lang w:val="en-US" w:eastAsia="zh-CN" w:bidi="ar-SA"/>
    </w:rPr>
  </w:style>
  <w:style w:type="paragraph" w:styleId="2">
    <w:name w:val="heading 1"/>
    <w:basedOn w:val="1"/>
    <w:next w:val="1"/>
    <w:qFormat/>
    <w:uiPriority w:val="9"/>
    <w:pPr>
      <w:numPr>
        <w:ilvl w:val="0"/>
        <w:numId w:val="1"/>
      </w:numPr>
      <w:spacing w:before="100" w:beforeLines="100" w:after="100" w:afterLines="100" w:line="360" w:lineRule="auto"/>
      <w:ind w:firstLine="0" w:firstLineChars="0"/>
      <w:jc w:val="center"/>
      <w:outlineLvl w:val="0"/>
    </w:pPr>
    <w:rPr>
      <w:rFonts w:asciiTheme="minorHAnsi" w:hAnsiTheme="minorHAnsi"/>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semiHidden/>
    <w:unhideWhenUsed/>
    <w:qFormat/>
    <w:uiPriority w:val="99"/>
    <w:pPr>
      <w:spacing w:beforeAutospacing="1" w:afterAutospacing="1"/>
      <w:jc w:val="left"/>
    </w:pPr>
    <w:rPr>
      <w:rFonts w:cs="Times New Roman"/>
      <w:kern w:val="0"/>
    </w:rPr>
  </w:style>
  <w:style w:type="paragraph" w:customStyle="1" w:styleId="6">
    <w:name w:val="表格"/>
    <w:basedOn w:val="1"/>
    <w:qFormat/>
    <w:uiPriority w:val="0"/>
    <w:pPr>
      <w:spacing w:line="240" w:lineRule="auto"/>
      <w:ind w:firstLine="0" w:firstLineChars="0"/>
      <w:jc w:val="center"/>
    </w:pPr>
    <w:rPr>
      <w:rFonts w:hint="eastAsia"/>
      <w:sz w:val="21"/>
    </w:rPr>
  </w:style>
  <w:style w:type="table" w:customStyle="1" w:styleId="7">
    <w:name w:val="无格式表格 11"/>
    <w:basedOn w:val="4"/>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1141</Words>
  <Characters>1663</Characters>
  <Lines>0</Lines>
  <Paragraphs>0</Paragraphs>
  <TotalTime>3</TotalTime>
  <ScaleCrop>false</ScaleCrop>
  <LinksUpToDate>false</LinksUpToDate>
  <CharactersWithSpaces>1680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2026-03-30T07:40:00Z</dcterms:created>
  <dc:creator>呵呵哒(๑• . •๑)</dc:creator>
  <cp:lastModifiedBy>呵呵哒(๑• . •๑)</cp:lastModifiedBy>
  <dcterms:modified xsi:type="dcterms:W3CDTF">2026-07-24T03:05:18Z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CAC94930B39947D5A698ABFA4F36AA61_13</vt:lpwstr>
  </property>
  <property fmtid="{D5CDD505-2E9C-101B-9397-08002B2CF9AE}" pid="4" name="KSOTemplateDocerSaveRecord">
    <vt:lpwstr>eyJoZGlkIjoiYzc4NTc4YzhhYTliM2Q5MmU4Y2ZkMDM2NWJhYjZlOTAiLCJ1c2VySWQiOiIzOTk4Mzg1MDYifQ==</vt:lpwstr>
  </property>
</Properties>
</file>