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jc w:val="both"/>
        <w:textAlignment w:val="auto"/>
      </w:pPr>
      <w:r>
        <w:rPr>
          <w:rFonts w:hint="eastAsia"/>
          <w:lang w:val="en-US" w:eastAsia="zh-CN"/>
        </w:rPr>
        <w:t>附件1：</w:t>
      </w:r>
      <w:r>
        <w:rPr>
          <w:rFonts w:hint="eastAsia"/>
        </w:rPr>
        <w:t>村域综合规划图</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jc w:val="center"/>
        <w:textAlignment w:val="auto"/>
        <w:rPr>
          <w:rFonts w:hint="eastAsia"/>
          <w:lang w:val="en-US" w:eastAsia="zh-CN"/>
        </w:rPr>
      </w:pPr>
      <w:r>
        <w:rPr>
          <w:rFonts w:hint="eastAsia"/>
          <w:lang w:val="en-US" w:eastAsia="zh-CN"/>
        </w:rPr>
        <w:drawing>
          <wp:inline distT="0" distB="0" distL="114300" distR="114300">
            <wp:extent cx="11193145" cy="7919720"/>
            <wp:effectExtent l="0" t="0" r="8255" b="5080"/>
            <wp:docPr id="1" name="图片 1" descr="K:\022-安溪县湖头镇国土空间总体规划\017-村庄规划修编\005-郭埔村\004-规划修编专家评审稿\图集\002-村域综合规划图.jpg002-村域综合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K:\022-安溪县湖头镇国土空间总体规划\017-村庄规划修编\005-郭埔村\004-规划修编专家评审稿\图集\002-村域综合规划图.jpg002-村域综合规划图"/>
                    <pic:cNvPicPr>
                      <a:picLocks noChangeAspect="1"/>
                    </pic:cNvPicPr>
                  </pic:nvPicPr>
                  <pic:blipFill>
                    <a:blip r:embed="rId6"/>
                    <a:srcRect/>
                    <a:stretch>
                      <a:fillRect/>
                    </a:stretch>
                  </pic:blipFill>
                  <pic:spPr>
                    <a:xfrm>
                      <a:off x="0" y="0"/>
                      <a:ext cx="11193145" cy="7919720"/>
                    </a:xfrm>
                    <a:prstGeom prst="rect">
                      <a:avLst/>
                    </a:prstGeom>
                  </pic:spPr>
                </pic:pic>
              </a:graphicData>
            </a:graphic>
          </wp:inline>
        </w:drawing>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jc w:val="both"/>
        <w:textAlignment w:val="auto"/>
      </w:pPr>
      <w:r>
        <w:rPr>
          <w:rFonts w:hint="eastAsia"/>
          <w:lang w:val="en-US" w:eastAsia="zh-CN"/>
        </w:rPr>
        <w:t>附件2：</w:t>
      </w:r>
      <w:r>
        <w:rPr>
          <w:rFonts w:hint="eastAsia"/>
        </w:rPr>
        <w:t>农村居民点规划布局图</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jc w:val="center"/>
        <w:textAlignment w:val="auto"/>
        <w:rPr>
          <w:rFonts w:hint="eastAsia"/>
          <w:lang w:val="en-US" w:eastAsia="zh-CN"/>
        </w:rPr>
      </w:pPr>
      <w:r>
        <w:rPr>
          <w:rFonts w:hint="eastAsia"/>
          <w:lang w:val="en-US" w:eastAsia="zh-CN"/>
        </w:rPr>
        <w:drawing>
          <wp:inline distT="0" distB="0" distL="114300" distR="114300">
            <wp:extent cx="11192510" cy="7919720"/>
            <wp:effectExtent l="0" t="0" r="8890" b="5080"/>
            <wp:docPr id="3" name="图片 3" descr="K:\022-安溪县湖头镇国土空间总体规划\017-村庄规划修编\005-郭埔村\004-规划修编专家评审稿\图集\003-农村居民点规划布局图.jpg003-农村居民点规划布局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K:\022-安溪县湖头镇国土空间总体规划\017-村庄规划修编\005-郭埔村\004-规划修编专家评审稿\图集\003-农村居民点规划布局图.jpg003-农村居民点规划布局图"/>
                    <pic:cNvPicPr>
                      <a:picLocks noChangeAspect="1"/>
                    </pic:cNvPicPr>
                  </pic:nvPicPr>
                  <pic:blipFill>
                    <a:blip r:embed="rId7"/>
                    <a:srcRect/>
                    <a:stretch>
                      <a:fillRect/>
                    </a:stretch>
                  </pic:blipFill>
                  <pic:spPr>
                    <a:xfrm>
                      <a:off x="0" y="0"/>
                      <a:ext cx="11192510" cy="7919720"/>
                    </a:xfrm>
                    <a:prstGeom prst="rect">
                      <a:avLst/>
                    </a:prstGeom>
                  </pic:spPr>
                </pic:pic>
              </a:graphicData>
            </a:graphic>
          </wp:inline>
        </w:drawing>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jc w:val="both"/>
        <w:textAlignment w:val="auto"/>
      </w:pPr>
      <w:r>
        <w:rPr>
          <w:rFonts w:hint="eastAsia"/>
          <w:lang w:val="en-US" w:eastAsia="zh-CN"/>
        </w:rPr>
        <w:t>附件3：</w:t>
      </w:r>
      <w:r>
        <w:rPr>
          <w:rFonts w:hint="eastAsia"/>
        </w:rPr>
        <w:t>农村居民点总平面图</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jc w:val="center"/>
        <w:textAlignment w:val="auto"/>
        <w:rPr>
          <w:rFonts w:hint="eastAsia"/>
          <w:lang w:val="en-US" w:eastAsia="zh-CN"/>
        </w:rPr>
      </w:pPr>
      <w:r>
        <w:rPr>
          <w:rFonts w:hint="eastAsia"/>
          <w:lang w:val="en-US" w:eastAsia="zh-CN"/>
        </w:rPr>
        <w:drawing>
          <wp:inline distT="0" distB="0" distL="114300" distR="114300">
            <wp:extent cx="11193145" cy="7919720"/>
            <wp:effectExtent l="0" t="0" r="8255" b="5080"/>
            <wp:docPr id="4" name="图片 4" descr="K:\022-安溪县湖头镇国土空间总体规划\017-村庄规划修编\005-郭埔村\004-规划修编专家评审稿\图集\004-农村居民点总平面图.jpg004-农村居民点总平面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K:\022-安溪县湖头镇国土空间总体规划\017-村庄规划修编\005-郭埔村\004-规划修编专家评审稿\图集\004-农村居民点总平面图.jpg004-农村居民点总平面图"/>
                    <pic:cNvPicPr>
                      <a:picLocks noChangeAspect="1"/>
                    </pic:cNvPicPr>
                  </pic:nvPicPr>
                  <pic:blipFill>
                    <a:blip r:embed="rId8"/>
                    <a:srcRect/>
                    <a:stretch>
                      <a:fillRect/>
                    </a:stretch>
                  </pic:blipFill>
                  <pic:spPr>
                    <a:xfrm>
                      <a:off x="0" y="0"/>
                      <a:ext cx="11193145" cy="7919720"/>
                    </a:xfrm>
                    <a:prstGeom prst="rect">
                      <a:avLst/>
                    </a:prstGeom>
                  </pic:spPr>
                </pic:pic>
              </a:graphicData>
            </a:graphic>
          </wp:inline>
        </w:drawing>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312" w:after="0" w:afterLines="0"/>
        <w:jc w:val="both"/>
        <w:textAlignment w:val="auto"/>
      </w:pPr>
      <w:r>
        <w:rPr>
          <w:rFonts w:hint="eastAsia"/>
          <w:lang w:val="en-US" w:eastAsia="zh-CN"/>
        </w:rPr>
        <w:t>附件4：</w:t>
      </w:r>
      <w:r>
        <w:rPr>
          <w:rFonts w:hint="eastAsia"/>
        </w:rPr>
        <w:t>规划指标表</w:t>
      </w:r>
    </w:p>
    <w:tbl>
      <w:tblPr>
        <w:tblStyle w:val="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85"/>
        <w:gridCol w:w="1418"/>
        <w:gridCol w:w="5337"/>
        <w:gridCol w:w="2857"/>
        <w:gridCol w:w="2641"/>
        <w:gridCol w:w="3106"/>
        <w:gridCol w:w="31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1" w:type="pct"/>
            <w:shd w:val="clear" w:color="auto" w:fill="auto"/>
            <w:tcMar>
              <w:top w:w="57" w:type="dxa"/>
              <w:bottom w:w="57" w:type="dxa"/>
            </w:tcMar>
            <w:vAlign w:val="center"/>
          </w:tcPr>
          <w:p>
            <w:pPr>
              <w:pStyle w:val="6"/>
              <w:jc w:val="center"/>
              <w:rPr>
                <w:rFonts w:hint="default" w:eastAsia="宋体"/>
                <w:b/>
                <w:bCs w:val="0"/>
                <w:color w:val="000000"/>
                <w:sz w:val="28"/>
                <w:szCs w:val="28"/>
                <w:lang w:val="en-US" w:eastAsia="zh-CN"/>
              </w:rPr>
            </w:pPr>
            <w:r>
              <w:rPr>
                <w:rFonts w:hint="eastAsia"/>
                <w:b/>
                <w:bCs w:val="0"/>
                <w:color w:val="000000"/>
                <w:sz w:val="28"/>
                <w:szCs w:val="28"/>
                <w:lang w:val="en-US" w:eastAsia="zh-CN"/>
              </w:rPr>
              <w:t>指标类型</w:t>
            </w:r>
          </w:p>
        </w:tc>
        <w:tc>
          <w:tcPr>
            <w:tcW w:w="335" w:type="pct"/>
            <w:shd w:val="clear" w:color="auto" w:fill="auto"/>
            <w:tcMar>
              <w:top w:w="57" w:type="dxa"/>
              <w:bottom w:w="57" w:type="dxa"/>
            </w:tcMar>
            <w:vAlign w:val="center"/>
          </w:tcPr>
          <w:p>
            <w:pPr>
              <w:pStyle w:val="6"/>
              <w:jc w:val="center"/>
              <w:rPr>
                <w:rFonts w:hint="default"/>
                <w:b/>
                <w:bCs w:val="0"/>
                <w:color w:val="000000"/>
                <w:sz w:val="28"/>
                <w:szCs w:val="28"/>
              </w:rPr>
            </w:pPr>
            <w:r>
              <w:rPr>
                <w:b/>
                <w:bCs w:val="0"/>
                <w:color w:val="000000"/>
                <w:sz w:val="28"/>
                <w:szCs w:val="28"/>
              </w:rPr>
              <w:t>序号</w:t>
            </w:r>
          </w:p>
        </w:tc>
        <w:tc>
          <w:tcPr>
            <w:tcW w:w="1261" w:type="pct"/>
            <w:shd w:val="clear" w:color="auto" w:fill="auto"/>
            <w:tcMar>
              <w:top w:w="57" w:type="dxa"/>
              <w:bottom w:w="57" w:type="dxa"/>
            </w:tcMar>
            <w:vAlign w:val="center"/>
          </w:tcPr>
          <w:p>
            <w:pPr>
              <w:pStyle w:val="6"/>
              <w:jc w:val="center"/>
              <w:rPr>
                <w:rFonts w:hint="default"/>
                <w:b/>
                <w:bCs w:val="0"/>
                <w:color w:val="000000"/>
                <w:sz w:val="28"/>
                <w:szCs w:val="28"/>
              </w:rPr>
            </w:pPr>
            <w:r>
              <w:rPr>
                <w:b/>
                <w:bCs w:val="0"/>
                <w:color w:val="000000"/>
                <w:sz w:val="28"/>
                <w:szCs w:val="28"/>
              </w:rPr>
              <w:t>指标</w:t>
            </w:r>
          </w:p>
        </w:tc>
        <w:tc>
          <w:tcPr>
            <w:tcW w:w="675" w:type="pct"/>
            <w:shd w:val="clear" w:color="auto" w:fill="auto"/>
            <w:tcMar>
              <w:top w:w="57" w:type="dxa"/>
              <w:bottom w:w="57" w:type="dxa"/>
            </w:tcMar>
            <w:vAlign w:val="center"/>
          </w:tcPr>
          <w:p>
            <w:pPr>
              <w:pStyle w:val="6"/>
              <w:jc w:val="center"/>
              <w:rPr>
                <w:rFonts w:hint="default"/>
                <w:b/>
                <w:bCs w:val="0"/>
                <w:color w:val="000000"/>
                <w:sz w:val="28"/>
                <w:szCs w:val="28"/>
              </w:rPr>
            </w:pPr>
            <w:r>
              <w:rPr>
                <w:b/>
                <w:bCs w:val="0"/>
                <w:color w:val="000000"/>
                <w:sz w:val="28"/>
                <w:szCs w:val="28"/>
              </w:rPr>
              <w:t>属性</w:t>
            </w:r>
          </w:p>
        </w:tc>
        <w:tc>
          <w:tcPr>
            <w:tcW w:w="624" w:type="pct"/>
            <w:shd w:val="clear" w:color="auto" w:fill="auto"/>
            <w:tcMar>
              <w:top w:w="57" w:type="dxa"/>
              <w:bottom w:w="57" w:type="dxa"/>
            </w:tcMar>
            <w:vAlign w:val="center"/>
          </w:tcPr>
          <w:p>
            <w:pPr>
              <w:pStyle w:val="6"/>
              <w:jc w:val="center"/>
              <w:rPr>
                <w:rFonts w:hint="default"/>
                <w:b/>
                <w:bCs w:val="0"/>
                <w:color w:val="000000"/>
                <w:sz w:val="28"/>
                <w:szCs w:val="28"/>
              </w:rPr>
            </w:pPr>
            <w:r>
              <w:rPr>
                <w:b/>
                <w:bCs w:val="0"/>
                <w:color w:val="000000"/>
                <w:sz w:val="28"/>
                <w:szCs w:val="28"/>
              </w:rPr>
              <w:t>单位</w:t>
            </w:r>
          </w:p>
        </w:tc>
        <w:tc>
          <w:tcPr>
            <w:tcW w:w="734" w:type="pct"/>
            <w:shd w:val="clear" w:color="auto" w:fill="auto"/>
            <w:tcMar>
              <w:top w:w="57" w:type="dxa"/>
              <w:bottom w:w="57" w:type="dxa"/>
            </w:tcMar>
            <w:vAlign w:val="center"/>
          </w:tcPr>
          <w:p>
            <w:pPr>
              <w:pStyle w:val="6"/>
              <w:jc w:val="center"/>
              <w:rPr>
                <w:rFonts w:hint="default"/>
                <w:b/>
                <w:bCs w:val="0"/>
                <w:color w:val="000000"/>
                <w:sz w:val="28"/>
                <w:szCs w:val="28"/>
              </w:rPr>
            </w:pPr>
            <w:r>
              <w:rPr>
                <w:b/>
                <w:bCs w:val="0"/>
                <w:color w:val="000000"/>
                <w:sz w:val="28"/>
                <w:szCs w:val="28"/>
              </w:rPr>
              <w:t>现状基期年</w:t>
            </w:r>
          </w:p>
        </w:tc>
        <w:tc>
          <w:tcPr>
            <w:tcW w:w="756" w:type="pct"/>
            <w:shd w:val="clear" w:color="auto" w:fill="auto"/>
            <w:tcMar>
              <w:top w:w="57" w:type="dxa"/>
              <w:bottom w:w="57" w:type="dxa"/>
            </w:tcMar>
            <w:vAlign w:val="center"/>
          </w:tcPr>
          <w:p>
            <w:pPr>
              <w:pStyle w:val="6"/>
              <w:jc w:val="center"/>
              <w:rPr>
                <w:rFonts w:hint="default"/>
                <w:b/>
                <w:bCs w:val="0"/>
                <w:color w:val="000000"/>
                <w:sz w:val="28"/>
                <w:szCs w:val="28"/>
              </w:rPr>
            </w:pPr>
            <w:r>
              <w:rPr>
                <w:b/>
                <w:bCs w:val="0"/>
                <w:color w:val="000000"/>
                <w:sz w:val="28"/>
                <w:szCs w:val="28"/>
              </w:rPr>
              <w:t>规划目标年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11" w:type="pct"/>
            <w:vMerge w:val="restart"/>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村庄发展性指标</w:t>
            </w:r>
          </w:p>
        </w:tc>
        <w:tc>
          <w:tcPr>
            <w:tcW w:w="335" w:type="pct"/>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1</w:t>
            </w:r>
          </w:p>
        </w:tc>
        <w:tc>
          <w:tcPr>
            <w:tcW w:w="1261"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村域建设用地总面积</w:t>
            </w:r>
          </w:p>
        </w:tc>
        <w:tc>
          <w:tcPr>
            <w:tcW w:w="675"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约束性</w:t>
            </w:r>
          </w:p>
        </w:tc>
        <w:tc>
          <w:tcPr>
            <w:tcW w:w="624"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公顷</w:t>
            </w:r>
          </w:p>
        </w:tc>
        <w:tc>
          <w:tcPr>
            <w:tcW w:w="3106" w:type="dxa"/>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68.14</w:t>
            </w:r>
          </w:p>
        </w:tc>
        <w:tc>
          <w:tcPr>
            <w:tcW w:w="3199" w:type="dxa"/>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≤73.58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11" w:type="pct"/>
            <w:vMerge w:val="continue"/>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p>
        </w:tc>
        <w:tc>
          <w:tcPr>
            <w:tcW w:w="335" w:type="pct"/>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2</w:t>
            </w:r>
          </w:p>
        </w:tc>
        <w:tc>
          <w:tcPr>
            <w:tcW w:w="1261"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村域城乡建设用地面积</w:t>
            </w:r>
          </w:p>
        </w:tc>
        <w:tc>
          <w:tcPr>
            <w:tcW w:w="675"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约束性</w:t>
            </w:r>
          </w:p>
        </w:tc>
        <w:tc>
          <w:tcPr>
            <w:tcW w:w="624"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公顷</w:t>
            </w:r>
          </w:p>
        </w:tc>
        <w:tc>
          <w:tcPr>
            <w:tcW w:w="3106" w:type="dxa"/>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60.63</w:t>
            </w:r>
          </w:p>
        </w:tc>
        <w:tc>
          <w:tcPr>
            <w:tcW w:w="3199" w:type="dxa"/>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≤66.06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11" w:type="pct"/>
            <w:vMerge w:val="continue"/>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p>
        </w:tc>
        <w:tc>
          <w:tcPr>
            <w:tcW w:w="335" w:type="pct"/>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3</w:t>
            </w:r>
          </w:p>
        </w:tc>
        <w:tc>
          <w:tcPr>
            <w:tcW w:w="1261"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村庄建设用地规模</w:t>
            </w:r>
          </w:p>
        </w:tc>
        <w:tc>
          <w:tcPr>
            <w:tcW w:w="675"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预期性</w:t>
            </w:r>
          </w:p>
        </w:tc>
        <w:tc>
          <w:tcPr>
            <w:tcW w:w="624"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公顷</w:t>
            </w:r>
          </w:p>
        </w:tc>
        <w:tc>
          <w:tcPr>
            <w:tcW w:w="3106" w:type="dxa"/>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58.04</w:t>
            </w:r>
          </w:p>
        </w:tc>
        <w:tc>
          <w:tcPr>
            <w:tcW w:w="3199" w:type="dxa"/>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≤63.38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11" w:type="pct"/>
            <w:vMerge w:val="continue"/>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p>
        </w:tc>
        <w:tc>
          <w:tcPr>
            <w:tcW w:w="335" w:type="pct"/>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4</w:t>
            </w:r>
          </w:p>
        </w:tc>
        <w:tc>
          <w:tcPr>
            <w:tcW w:w="1261"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公共管理与公共服务用地规模</w:t>
            </w:r>
          </w:p>
        </w:tc>
        <w:tc>
          <w:tcPr>
            <w:tcW w:w="675"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预期性</w:t>
            </w:r>
          </w:p>
        </w:tc>
        <w:tc>
          <w:tcPr>
            <w:tcW w:w="624"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公顷</w:t>
            </w:r>
          </w:p>
        </w:tc>
        <w:tc>
          <w:tcPr>
            <w:tcW w:w="3106" w:type="dxa"/>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0.54</w:t>
            </w:r>
          </w:p>
        </w:tc>
        <w:tc>
          <w:tcPr>
            <w:tcW w:w="3199" w:type="dxa"/>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11" w:type="pct"/>
            <w:vMerge w:val="continue"/>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p>
        </w:tc>
        <w:tc>
          <w:tcPr>
            <w:tcW w:w="335" w:type="pct"/>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5</w:t>
            </w:r>
          </w:p>
        </w:tc>
        <w:tc>
          <w:tcPr>
            <w:tcW w:w="1261"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公用设施用地规模</w:t>
            </w:r>
          </w:p>
        </w:tc>
        <w:tc>
          <w:tcPr>
            <w:tcW w:w="675"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预期性</w:t>
            </w:r>
          </w:p>
        </w:tc>
        <w:tc>
          <w:tcPr>
            <w:tcW w:w="624"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公顷</w:t>
            </w:r>
          </w:p>
        </w:tc>
        <w:tc>
          <w:tcPr>
            <w:tcW w:w="3106" w:type="dxa"/>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0.43</w:t>
            </w:r>
          </w:p>
        </w:tc>
        <w:tc>
          <w:tcPr>
            <w:tcW w:w="3199" w:type="dxa"/>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11" w:type="pct"/>
            <w:vMerge w:val="continue"/>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p>
        </w:tc>
        <w:tc>
          <w:tcPr>
            <w:tcW w:w="335" w:type="pct"/>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6</w:t>
            </w:r>
          </w:p>
        </w:tc>
        <w:tc>
          <w:tcPr>
            <w:tcW w:w="1261"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人均村庄建设用地面积</w:t>
            </w:r>
          </w:p>
        </w:tc>
        <w:tc>
          <w:tcPr>
            <w:tcW w:w="675"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预期性</w:t>
            </w:r>
          </w:p>
        </w:tc>
        <w:tc>
          <w:tcPr>
            <w:tcW w:w="624"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平方米/人</w:t>
            </w:r>
          </w:p>
        </w:tc>
        <w:tc>
          <w:tcPr>
            <w:tcW w:w="3106" w:type="dxa"/>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106.32</w:t>
            </w:r>
          </w:p>
        </w:tc>
        <w:tc>
          <w:tcPr>
            <w:tcW w:w="3199" w:type="dxa"/>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114.94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11" w:type="pct"/>
            <w:vMerge w:val="restart"/>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村庄保护性指标</w:t>
            </w:r>
          </w:p>
        </w:tc>
        <w:tc>
          <w:tcPr>
            <w:tcW w:w="335" w:type="pct"/>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7</w:t>
            </w:r>
          </w:p>
        </w:tc>
        <w:tc>
          <w:tcPr>
            <w:tcW w:w="1261"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生态保护红线面积</w:t>
            </w:r>
          </w:p>
        </w:tc>
        <w:tc>
          <w:tcPr>
            <w:tcW w:w="675"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约束性</w:t>
            </w:r>
          </w:p>
        </w:tc>
        <w:tc>
          <w:tcPr>
            <w:tcW w:w="624"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公顷</w:t>
            </w:r>
          </w:p>
        </w:tc>
        <w:tc>
          <w:tcPr>
            <w:tcW w:w="3106" w:type="dxa"/>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25.5</w:t>
            </w:r>
          </w:p>
        </w:tc>
        <w:tc>
          <w:tcPr>
            <w:tcW w:w="3199" w:type="dxa"/>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11" w:type="pct"/>
            <w:vMerge w:val="continue"/>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p>
        </w:tc>
        <w:tc>
          <w:tcPr>
            <w:tcW w:w="335" w:type="pct"/>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8</w:t>
            </w:r>
          </w:p>
        </w:tc>
        <w:tc>
          <w:tcPr>
            <w:tcW w:w="1261"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永久基本农田保护面积</w:t>
            </w:r>
          </w:p>
        </w:tc>
        <w:tc>
          <w:tcPr>
            <w:tcW w:w="675"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约束性</w:t>
            </w:r>
          </w:p>
        </w:tc>
        <w:tc>
          <w:tcPr>
            <w:tcW w:w="624"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公顷</w:t>
            </w:r>
          </w:p>
        </w:tc>
        <w:tc>
          <w:tcPr>
            <w:tcW w:w="3106" w:type="dxa"/>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70.54</w:t>
            </w:r>
          </w:p>
        </w:tc>
        <w:tc>
          <w:tcPr>
            <w:tcW w:w="3199" w:type="dxa"/>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70.54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11" w:type="pct"/>
            <w:vMerge w:val="continue"/>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p>
        </w:tc>
        <w:tc>
          <w:tcPr>
            <w:tcW w:w="335" w:type="pct"/>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9</w:t>
            </w:r>
          </w:p>
        </w:tc>
        <w:tc>
          <w:tcPr>
            <w:tcW w:w="1261"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耕地保有量</w:t>
            </w:r>
          </w:p>
        </w:tc>
        <w:tc>
          <w:tcPr>
            <w:tcW w:w="675"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约束性</w:t>
            </w:r>
          </w:p>
        </w:tc>
        <w:tc>
          <w:tcPr>
            <w:tcW w:w="624"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公顷</w:t>
            </w:r>
          </w:p>
        </w:tc>
        <w:tc>
          <w:tcPr>
            <w:tcW w:w="3106" w:type="dxa"/>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71.55</w:t>
            </w:r>
          </w:p>
        </w:tc>
        <w:tc>
          <w:tcPr>
            <w:tcW w:w="3199" w:type="dxa"/>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70.81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11" w:type="pct"/>
            <w:vMerge w:val="continue"/>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p>
        </w:tc>
        <w:tc>
          <w:tcPr>
            <w:tcW w:w="335" w:type="pct"/>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10</w:t>
            </w:r>
          </w:p>
        </w:tc>
        <w:tc>
          <w:tcPr>
            <w:tcW w:w="1261"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林地保有量</w:t>
            </w:r>
          </w:p>
        </w:tc>
        <w:tc>
          <w:tcPr>
            <w:tcW w:w="675"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约束性</w:t>
            </w:r>
          </w:p>
        </w:tc>
        <w:tc>
          <w:tcPr>
            <w:tcW w:w="624"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公顷</w:t>
            </w:r>
          </w:p>
        </w:tc>
        <w:tc>
          <w:tcPr>
            <w:tcW w:w="3106" w:type="dxa"/>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424.11</w:t>
            </w:r>
          </w:p>
        </w:tc>
        <w:tc>
          <w:tcPr>
            <w:tcW w:w="3199" w:type="dxa"/>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421.79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11" w:type="pct"/>
            <w:vMerge w:val="continue"/>
            <w:shd w:val="clear" w:color="auto" w:fill="auto"/>
            <w:tcMar>
              <w:top w:w="57" w:type="dxa"/>
              <w:bottom w:w="57" w:type="dxa"/>
            </w:tcMar>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p>
        </w:tc>
        <w:tc>
          <w:tcPr>
            <w:tcW w:w="335"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11</w:t>
            </w:r>
          </w:p>
        </w:tc>
        <w:tc>
          <w:tcPr>
            <w:tcW w:w="1261"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自然和文化遗产</w:t>
            </w:r>
          </w:p>
        </w:tc>
        <w:tc>
          <w:tcPr>
            <w:tcW w:w="675"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预期性</w:t>
            </w:r>
          </w:p>
        </w:tc>
        <w:tc>
          <w:tcPr>
            <w:tcW w:w="624" w:type="pct"/>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处</w:t>
            </w:r>
          </w:p>
        </w:tc>
        <w:tc>
          <w:tcPr>
            <w:tcW w:w="3106" w:type="dxa"/>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1</w:t>
            </w:r>
          </w:p>
        </w:tc>
        <w:tc>
          <w:tcPr>
            <w:tcW w:w="3199" w:type="dxa"/>
            <w:shd w:val="clear" w:color="auto" w:fill="auto"/>
            <w:tcMar>
              <w:top w:w="57" w:type="dxa"/>
              <w:bottom w:w="57" w:type="dxa"/>
            </w:tcMar>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≥1</w:t>
            </w:r>
          </w:p>
        </w:tc>
      </w:tr>
    </w:tbl>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ind w:left="403"/>
        <w:jc w:val="both"/>
        <w:textAlignment w:val="auto"/>
        <w:rPr>
          <w:rFonts w:hint="eastAsia"/>
          <w:lang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ind w:left="403"/>
        <w:jc w:val="both"/>
        <w:textAlignment w:val="auto"/>
        <w:rPr>
          <w:rFonts w:hint="eastAsia"/>
          <w:lang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ind w:left="403"/>
        <w:jc w:val="both"/>
        <w:textAlignment w:val="auto"/>
        <w:rPr>
          <w:rFonts w:hint="eastAsia"/>
          <w:lang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ind w:left="403"/>
        <w:jc w:val="both"/>
        <w:textAlignment w:val="auto"/>
        <w:rPr>
          <w:rFonts w:hint="eastAsia"/>
          <w:lang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ind w:left="403"/>
        <w:jc w:val="both"/>
        <w:textAlignment w:val="auto"/>
        <w:rPr>
          <w:rFonts w:hint="eastAsia"/>
          <w:lang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ind w:left="403"/>
        <w:jc w:val="both"/>
        <w:textAlignment w:val="auto"/>
        <w:rPr>
          <w:rFonts w:hint="eastAsia"/>
          <w:lang w:eastAsia="zh-CN"/>
        </w:rPr>
      </w:pPr>
    </w:p>
    <w:p>
      <w:pPr>
        <w:rPr>
          <w:rFonts w:hint="eastAsia"/>
          <w:lang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ind w:left="403"/>
        <w:jc w:val="both"/>
        <w:textAlignment w:val="auto"/>
        <w:rPr>
          <w:rFonts w:hint="eastAsia"/>
          <w:lang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jc w:val="both"/>
        <w:textAlignment w:val="auto"/>
        <w:rPr>
          <w:rFonts w:hint="eastAsia" w:ascii="宋体" w:hAnsi="宋体" w:eastAsia="宋体" w:cs="宋体"/>
        </w:rPr>
      </w:pPr>
      <w:r>
        <w:rPr>
          <w:rFonts w:hint="eastAsia" w:ascii="宋体" w:hAnsi="宋体" w:eastAsia="宋体" w:cs="宋体"/>
          <w:lang w:val="en-US" w:eastAsia="zh-CN"/>
        </w:rPr>
        <w:t>附件5：村域</w:t>
      </w:r>
      <w:r>
        <w:rPr>
          <w:rFonts w:hint="eastAsia" w:ascii="宋体" w:hAnsi="宋体" w:eastAsia="宋体" w:cs="宋体"/>
        </w:rPr>
        <w:t>国土空间功能结构调整表</w:t>
      </w:r>
    </w:p>
    <w:tbl>
      <w:tblPr>
        <w:tblStyle w:val="4"/>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8"/>
        <w:gridCol w:w="854"/>
        <w:gridCol w:w="855"/>
        <w:gridCol w:w="9139"/>
        <w:gridCol w:w="1714"/>
        <w:gridCol w:w="1718"/>
        <w:gridCol w:w="1714"/>
        <w:gridCol w:w="1718"/>
        <w:gridCol w:w="25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2767" w:type="pct"/>
            <w:gridSpan w:val="4"/>
            <w:vMerge w:val="restart"/>
            <w:tcBorders>
              <w:top w:val="single" w:color="000000" w:sz="8" w:space="0"/>
              <w:left w:val="single" w:color="000000" w:sz="8" w:space="0"/>
              <w:right w:val="single" w:color="000000" w:sz="8" w:space="0"/>
            </w:tcBorders>
            <w:shd w:val="clear" w:color="auto" w:fill="auto"/>
            <w:vAlign w:val="center"/>
          </w:tcPr>
          <w:p>
            <w:pPr>
              <w:pStyle w:val="6"/>
              <w:jc w:val="center"/>
              <w:rPr>
                <w:rFonts w:hint="default" w:ascii="宋体" w:hAnsi="宋体" w:eastAsia="宋体" w:cs="宋体"/>
                <w:b/>
                <w:color w:val="000000"/>
                <w:sz w:val="28"/>
                <w:szCs w:val="28"/>
                <w:lang w:val="en-US" w:eastAsia="zh-CN"/>
              </w:rPr>
            </w:pPr>
            <w:r>
              <w:rPr>
                <w:rFonts w:hint="eastAsia" w:ascii="宋体" w:hAnsi="宋体" w:cs="宋体"/>
                <w:b/>
                <w:color w:val="000000"/>
                <w:sz w:val="28"/>
                <w:szCs w:val="28"/>
                <w:lang w:val="en-US" w:eastAsia="zh-CN"/>
              </w:rPr>
              <w:t>用地类型</w:t>
            </w:r>
          </w:p>
        </w:tc>
        <w:tc>
          <w:tcPr>
            <w:tcW w:w="811"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pPr>
              <w:pStyle w:val="6"/>
              <w:jc w:val="center"/>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规划基期年</w:t>
            </w:r>
          </w:p>
        </w:tc>
        <w:tc>
          <w:tcPr>
            <w:tcW w:w="8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jc w:val="center"/>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规划目标年</w:t>
            </w:r>
          </w:p>
        </w:tc>
        <w:tc>
          <w:tcPr>
            <w:tcW w:w="608" w:type="pct"/>
            <w:vMerge w:val="restart"/>
            <w:tcBorders>
              <w:top w:val="single" w:color="000000" w:sz="4" w:space="0"/>
              <w:left w:val="single" w:color="000000" w:sz="4" w:space="0"/>
              <w:right w:val="single" w:color="000000" w:sz="4" w:space="0"/>
            </w:tcBorders>
            <w:shd w:val="clear" w:color="auto" w:fill="auto"/>
            <w:vAlign w:val="center"/>
          </w:tcPr>
          <w:p>
            <w:pPr>
              <w:pStyle w:val="6"/>
              <w:jc w:val="center"/>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《规划修编》</w:t>
            </w:r>
          </w:p>
          <w:p>
            <w:pPr>
              <w:pStyle w:val="6"/>
              <w:jc w:val="center"/>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前后面积增减</w:t>
            </w:r>
          </w:p>
          <w:p>
            <w:pPr>
              <w:pStyle w:val="6"/>
              <w:jc w:val="center"/>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（公顷）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767" w:type="pct"/>
            <w:gridSpan w:val="4"/>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pStyle w:val="6"/>
              <w:jc w:val="center"/>
              <w:rPr>
                <w:rFonts w:hint="eastAsia" w:ascii="宋体" w:hAnsi="宋体" w:eastAsia="宋体" w:cs="宋体"/>
                <w:b/>
                <w:color w:val="000000"/>
                <w:sz w:val="28"/>
                <w:szCs w:val="28"/>
              </w:rPr>
            </w:pP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pStyle w:val="6"/>
              <w:jc w:val="center"/>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面积</w:t>
            </w:r>
          </w:p>
          <w:p>
            <w:pPr>
              <w:pStyle w:val="6"/>
              <w:jc w:val="center"/>
              <w:rPr>
                <w:rFonts w:hint="eastAsia" w:ascii="宋体" w:hAnsi="宋体" w:eastAsia="宋体" w:cs="宋体"/>
                <w:b/>
                <w:color w:val="000000"/>
                <w:sz w:val="28"/>
                <w:szCs w:val="28"/>
              </w:rPr>
            </w:pPr>
            <w:r>
              <w:rPr>
                <w:rFonts w:hint="eastAsia" w:ascii="宋体" w:hAnsi="宋体" w:eastAsia="宋体" w:cs="宋体"/>
                <w:b/>
                <w:color w:val="000000"/>
                <w:sz w:val="28"/>
                <w:szCs w:val="28"/>
                <w:lang w:val="en-US" w:eastAsia="zh-CN"/>
              </w:rPr>
              <w:t>（公顷）</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pStyle w:val="6"/>
              <w:jc w:val="center"/>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比重</w:t>
            </w:r>
          </w:p>
          <w:p>
            <w:pPr>
              <w:pStyle w:val="6"/>
              <w:jc w:val="center"/>
              <w:rPr>
                <w:rFonts w:hint="eastAsia" w:ascii="宋体" w:hAnsi="宋体" w:eastAsia="宋体" w:cs="宋体"/>
                <w:b/>
                <w:color w:val="000000"/>
                <w:sz w:val="28"/>
                <w:szCs w:val="28"/>
              </w:rPr>
            </w:pPr>
            <w:r>
              <w:rPr>
                <w:rFonts w:hint="eastAsia" w:ascii="宋体" w:hAnsi="宋体" w:eastAsia="宋体" w:cs="宋体"/>
                <w:b/>
                <w:color w:val="000000"/>
                <w:sz w:val="28"/>
                <w:szCs w:val="28"/>
                <w:lang w:val="en-US" w:eastAsia="zh-CN"/>
              </w:rPr>
              <w:t>（％）</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jc w:val="center"/>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面积</w:t>
            </w:r>
          </w:p>
          <w:p>
            <w:pPr>
              <w:pStyle w:val="6"/>
              <w:jc w:val="center"/>
              <w:rPr>
                <w:rFonts w:hint="eastAsia" w:ascii="宋体" w:hAnsi="宋体" w:eastAsia="宋体" w:cs="宋体"/>
                <w:b/>
                <w:color w:val="000000"/>
                <w:sz w:val="28"/>
                <w:szCs w:val="28"/>
              </w:rPr>
            </w:pPr>
            <w:r>
              <w:rPr>
                <w:rFonts w:hint="eastAsia" w:ascii="宋体" w:hAnsi="宋体" w:eastAsia="宋体" w:cs="宋体"/>
                <w:b/>
                <w:color w:val="000000"/>
                <w:sz w:val="28"/>
                <w:szCs w:val="28"/>
                <w:lang w:val="en-US" w:eastAsia="zh-CN"/>
              </w:rPr>
              <w:t>（公顷）</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jc w:val="center"/>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比重</w:t>
            </w:r>
          </w:p>
          <w:p>
            <w:pPr>
              <w:pStyle w:val="6"/>
              <w:jc w:val="center"/>
              <w:rPr>
                <w:rFonts w:hint="eastAsia" w:ascii="宋体" w:hAnsi="宋体" w:eastAsia="宋体" w:cs="宋体"/>
                <w:b/>
                <w:color w:val="000000"/>
                <w:sz w:val="28"/>
                <w:szCs w:val="28"/>
              </w:rPr>
            </w:pPr>
            <w:r>
              <w:rPr>
                <w:rFonts w:hint="eastAsia" w:ascii="宋体" w:hAnsi="宋体" w:eastAsia="宋体" w:cs="宋体"/>
                <w:b/>
                <w:color w:val="000000"/>
                <w:sz w:val="28"/>
                <w:szCs w:val="28"/>
                <w:lang w:val="en-US" w:eastAsia="zh-CN"/>
              </w:rPr>
              <w:t>（%）</w:t>
            </w:r>
          </w:p>
        </w:tc>
        <w:tc>
          <w:tcPr>
            <w:tcW w:w="608" w:type="pct"/>
            <w:vMerge w:val="continue"/>
            <w:tcBorders>
              <w:left w:val="single" w:color="000000" w:sz="4" w:space="0"/>
              <w:right w:val="single" w:color="000000" w:sz="4" w:space="0"/>
            </w:tcBorders>
            <w:shd w:val="clear" w:color="auto" w:fill="auto"/>
            <w:vAlign w:val="center"/>
          </w:tcPr>
          <w:p>
            <w:pPr>
              <w:pStyle w:val="6"/>
              <w:jc w:val="center"/>
              <w:rPr>
                <w:rFonts w:hint="eastAsia" w:ascii="宋体" w:hAnsi="宋体" w:eastAsia="宋体" w:cs="宋体"/>
                <w:b/>
                <w:color w:val="000000"/>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203" w:type="pct"/>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r>
              <w:rPr>
                <w:rFonts w:hint="eastAsia" w:ascii="宋体" w:hAnsi="宋体" w:eastAsia="宋体" w:cs="宋体"/>
                <w:color w:val="000000"/>
                <w:kern w:val="24"/>
                <w:sz w:val="28"/>
                <w:szCs w:val="28"/>
                <w:lang w:val="en-US" w:eastAsia="zh-CN"/>
              </w:rPr>
              <w:t>农林用地</w:t>
            </w:r>
          </w:p>
        </w:tc>
        <w:tc>
          <w:tcPr>
            <w:tcW w:w="2564" w:type="pct"/>
            <w:gridSpan w:val="3"/>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r>
              <w:rPr>
                <w:rFonts w:hint="eastAsia" w:ascii="宋体" w:hAnsi="宋体" w:eastAsia="宋体" w:cs="宋体"/>
                <w:color w:val="000000"/>
                <w:kern w:val="24"/>
                <w:sz w:val="28"/>
                <w:szCs w:val="28"/>
                <w:lang w:val="en-US" w:eastAsia="zh-CN"/>
              </w:rPr>
              <w:t>耕地（01）</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71.55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8.46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70.81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8.37 </w:t>
            </w:r>
          </w:p>
        </w:tc>
        <w:tc>
          <w:tcPr>
            <w:tcW w:w="60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-0.75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203" w:type="pct"/>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564" w:type="pct"/>
            <w:gridSpan w:val="3"/>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r>
              <w:rPr>
                <w:rFonts w:hint="eastAsia" w:ascii="宋体" w:hAnsi="宋体" w:eastAsia="宋体" w:cs="宋体"/>
                <w:color w:val="000000"/>
                <w:kern w:val="24"/>
                <w:sz w:val="28"/>
                <w:szCs w:val="28"/>
                <w:lang w:val="en-US" w:eastAsia="zh-CN"/>
              </w:rPr>
              <w:t>园地（02）</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255.67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30.24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253.31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29.96 </w:t>
            </w:r>
          </w:p>
        </w:tc>
        <w:tc>
          <w:tcPr>
            <w:tcW w:w="60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-2.36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203" w:type="pct"/>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564" w:type="pct"/>
            <w:gridSpan w:val="3"/>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r>
              <w:rPr>
                <w:rFonts w:hint="eastAsia" w:ascii="宋体" w:hAnsi="宋体" w:eastAsia="宋体" w:cs="宋体"/>
                <w:color w:val="000000"/>
                <w:kern w:val="24"/>
                <w:sz w:val="28"/>
                <w:szCs w:val="28"/>
                <w:lang w:val="en-US" w:eastAsia="zh-CN"/>
              </w:rPr>
              <w:t>林地（03）</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424.11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50.16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421.79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49.88 </w:t>
            </w:r>
          </w:p>
        </w:tc>
        <w:tc>
          <w:tcPr>
            <w:tcW w:w="60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-2.32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203" w:type="pct"/>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564" w:type="pct"/>
            <w:gridSpan w:val="3"/>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r>
              <w:rPr>
                <w:rFonts w:hint="eastAsia" w:ascii="宋体" w:hAnsi="宋体" w:eastAsia="宋体" w:cs="宋体"/>
                <w:color w:val="000000"/>
                <w:kern w:val="24"/>
                <w:sz w:val="28"/>
                <w:szCs w:val="28"/>
                <w:lang w:val="en-US" w:eastAsia="zh-CN"/>
              </w:rPr>
              <w:t>草地（04）</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1.28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0.15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1.28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0.15 </w:t>
            </w:r>
          </w:p>
        </w:tc>
        <w:tc>
          <w:tcPr>
            <w:tcW w:w="60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203" w:type="pct"/>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564" w:type="pct"/>
            <w:gridSpan w:val="3"/>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r>
              <w:rPr>
                <w:rFonts w:hint="eastAsia" w:ascii="宋体" w:hAnsi="宋体" w:eastAsia="宋体" w:cs="宋体"/>
                <w:color w:val="000000"/>
                <w:kern w:val="24"/>
                <w:sz w:val="28"/>
                <w:szCs w:val="28"/>
                <w:lang w:val="en-US" w:eastAsia="zh-CN"/>
              </w:rPr>
              <w:t>农业设施建设用地（06）</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10.56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1.25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10.74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1.27 </w:t>
            </w:r>
          </w:p>
        </w:tc>
        <w:tc>
          <w:tcPr>
            <w:tcW w:w="60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0.18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203" w:type="pct"/>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564" w:type="pct"/>
            <w:gridSpan w:val="3"/>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r>
              <w:rPr>
                <w:rFonts w:hint="eastAsia" w:ascii="宋体" w:hAnsi="宋体" w:eastAsia="宋体" w:cs="宋体"/>
                <w:color w:val="000000"/>
                <w:kern w:val="24"/>
                <w:sz w:val="28"/>
                <w:szCs w:val="28"/>
                <w:lang w:val="en-US" w:eastAsia="zh-CN"/>
              </w:rPr>
              <w:t>小计</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763.18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90.26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757.93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89.64 </w:t>
            </w:r>
          </w:p>
        </w:tc>
        <w:tc>
          <w:tcPr>
            <w:tcW w:w="60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-5.25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2" w:hRule="atLeast"/>
        </w:trPr>
        <w:tc>
          <w:tcPr>
            <w:tcW w:w="203" w:type="pct"/>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r>
              <w:rPr>
                <w:rFonts w:hint="eastAsia" w:ascii="宋体" w:hAnsi="宋体" w:eastAsia="宋体" w:cs="宋体"/>
                <w:color w:val="000000"/>
                <w:kern w:val="24"/>
                <w:sz w:val="28"/>
                <w:szCs w:val="28"/>
                <w:lang w:val="en-US" w:eastAsia="zh-CN"/>
              </w:rPr>
              <w:t>村域建设用地</w:t>
            </w:r>
          </w:p>
        </w:tc>
        <w:tc>
          <w:tcPr>
            <w:tcW w:w="202" w:type="pct"/>
            <w:vMerge w:val="restart"/>
            <w:tcBorders>
              <w:top w:val="single" w:color="000000" w:sz="8" w:space="0"/>
              <w:left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r>
              <w:rPr>
                <w:rFonts w:hint="eastAsia" w:ascii="宋体" w:hAnsi="宋体" w:eastAsia="宋体" w:cs="宋体"/>
                <w:color w:val="000000"/>
                <w:kern w:val="24"/>
                <w:sz w:val="28"/>
                <w:szCs w:val="28"/>
                <w:lang w:val="en-US" w:eastAsia="zh-CN"/>
              </w:rPr>
              <w:t>村域城乡建设用地</w:t>
            </w:r>
          </w:p>
        </w:tc>
        <w:tc>
          <w:tcPr>
            <w:tcW w:w="2361" w:type="pct"/>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r>
              <w:rPr>
                <w:rFonts w:hint="eastAsia" w:ascii="宋体" w:hAnsi="宋体" w:eastAsia="宋体" w:cs="宋体"/>
                <w:color w:val="000000"/>
                <w:kern w:val="24"/>
                <w:sz w:val="28"/>
                <w:szCs w:val="28"/>
                <w:lang w:val="en-US" w:eastAsia="zh-CN"/>
              </w:rPr>
              <w:t>城镇用地（07-09，1001，11，1207-1209，1301-1310，1313，14，16，2301）</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2.59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0.31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2.59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0.31 </w:t>
            </w:r>
          </w:p>
        </w:tc>
        <w:tc>
          <w:tcPr>
            <w:tcW w:w="60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203" w:type="pct"/>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02" w:type="pct"/>
            <w:vMerge w:val="continue"/>
            <w:tcBorders>
              <w:left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02" w:type="pct"/>
            <w:vMerge w:val="restart"/>
            <w:tcBorders>
              <w:top w:val="single" w:color="000000" w:sz="8" w:space="0"/>
              <w:left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村庄建设用地</w:t>
            </w:r>
          </w:p>
        </w:tc>
        <w:tc>
          <w:tcPr>
            <w:tcW w:w="215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居住用地（0703-0704）</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49.35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5.84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54.73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6.47 </w:t>
            </w:r>
          </w:p>
        </w:tc>
        <w:tc>
          <w:tcPr>
            <w:tcW w:w="60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5.38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203" w:type="pct"/>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02" w:type="pct"/>
            <w:vMerge w:val="continue"/>
            <w:tcBorders>
              <w:left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02" w:type="pct"/>
            <w:vMerge w:val="continue"/>
            <w:tcBorders>
              <w:left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p>
        </w:tc>
        <w:tc>
          <w:tcPr>
            <w:tcW w:w="215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公共管理与公共服务设施用地（08）</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0.54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0.06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0.60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0.07 </w:t>
            </w:r>
          </w:p>
        </w:tc>
        <w:tc>
          <w:tcPr>
            <w:tcW w:w="60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0.06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203" w:type="pct"/>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02" w:type="pct"/>
            <w:vMerge w:val="continue"/>
            <w:tcBorders>
              <w:left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02" w:type="pct"/>
            <w:vMerge w:val="continue"/>
            <w:tcBorders>
              <w:left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p>
        </w:tc>
        <w:tc>
          <w:tcPr>
            <w:tcW w:w="215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商业服务业用地（09）</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1.67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0.20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1.67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0.20 </w:t>
            </w:r>
          </w:p>
        </w:tc>
        <w:tc>
          <w:tcPr>
            <w:tcW w:w="60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203" w:type="pct"/>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02" w:type="pct"/>
            <w:vMerge w:val="continue"/>
            <w:tcBorders>
              <w:left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02" w:type="pct"/>
            <w:vMerge w:val="continue"/>
            <w:tcBorders>
              <w:left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p>
        </w:tc>
        <w:tc>
          <w:tcPr>
            <w:tcW w:w="215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工业用地（1001）</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4.13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0.49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4.02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0.48 </w:t>
            </w:r>
          </w:p>
        </w:tc>
        <w:tc>
          <w:tcPr>
            <w:tcW w:w="60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-0.11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203" w:type="pct"/>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02" w:type="pct"/>
            <w:vMerge w:val="continue"/>
            <w:tcBorders>
              <w:left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02" w:type="pct"/>
            <w:vMerge w:val="continue"/>
            <w:tcBorders>
              <w:left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p>
        </w:tc>
        <w:tc>
          <w:tcPr>
            <w:tcW w:w="215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物流仓储用地（1101）</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0.42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0.05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0.42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0.05 </w:t>
            </w:r>
          </w:p>
        </w:tc>
        <w:tc>
          <w:tcPr>
            <w:tcW w:w="60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203" w:type="pct"/>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02" w:type="pct"/>
            <w:vMerge w:val="continue"/>
            <w:tcBorders>
              <w:left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02" w:type="pct"/>
            <w:vMerge w:val="continue"/>
            <w:tcBorders>
              <w:left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p>
        </w:tc>
        <w:tc>
          <w:tcPr>
            <w:tcW w:w="215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交通运输用地（1207、120803、1209）</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1.33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0.16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1.34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0.16 </w:t>
            </w:r>
          </w:p>
        </w:tc>
        <w:tc>
          <w:tcPr>
            <w:tcW w:w="60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203" w:type="pct"/>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02" w:type="pct"/>
            <w:vMerge w:val="continue"/>
            <w:tcBorders>
              <w:left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02" w:type="pct"/>
            <w:vMerge w:val="continue"/>
            <w:tcBorders>
              <w:left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p>
        </w:tc>
        <w:tc>
          <w:tcPr>
            <w:tcW w:w="215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公用设施用地（1301-1310,1313）</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0.43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0.05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0.43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0.05 </w:t>
            </w:r>
          </w:p>
        </w:tc>
        <w:tc>
          <w:tcPr>
            <w:tcW w:w="60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203" w:type="pct"/>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02" w:type="pct"/>
            <w:vMerge w:val="continue"/>
            <w:tcBorders>
              <w:left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02" w:type="pct"/>
            <w:vMerge w:val="continue"/>
            <w:tcBorders>
              <w:left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p>
        </w:tc>
        <w:tc>
          <w:tcPr>
            <w:tcW w:w="215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绿地与开敞空间用地（14）</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0.17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0.02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0.17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0.02 </w:t>
            </w:r>
          </w:p>
        </w:tc>
        <w:tc>
          <w:tcPr>
            <w:tcW w:w="60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203" w:type="pct"/>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02" w:type="pct"/>
            <w:vMerge w:val="continue"/>
            <w:tcBorders>
              <w:left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02" w:type="pct"/>
            <w:vMerge w:val="continue"/>
            <w:tcBorders>
              <w:left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p>
        </w:tc>
        <w:tc>
          <w:tcPr>
            <w:tcW w:w="215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留白用地（16）</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0.09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0.01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0.09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0.01 </w:t>
            </w:r>
          </w:p>
        </w:tc>
        <w:tc>
          <w:tcPr>
            <w:tcW w:w="60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203" w:type="pct"/>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02" w:type="pct"/>
            <w:vMerge w:val="continue"/>
            <w:tcBorders>
              <w:left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02" w:type="pct"/>
            <w:vMerge w:val="continue"/>
            <w:tcBorders>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p>
        </w:tc>
        <w:tc>
          <w:tcPr>
            <w:tcW w:w="215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小计</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58.04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6.86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63.38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7.50 </w:t>
            </w:r>
          </w:p>
        </w:tc>
        <w:tc>
          <w:tcPr>
            <w:tcW w:w="60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5.34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203" w:type="pct"/>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02" w:type="pct"/>
            <w:vMerge w:val="continue"/>
            <w:tcBorders>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361" w:type="pct"/>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小计</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60.63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7.17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66.06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7.81 </w:t>
            </w:r>
          </w:p>
        </w:tc>
        <w:tc>
          <w:tcPr>
            <w:tcW w:w="60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5.43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203" w:type="pct"/>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564" w:type="pct"/>
            <w:gridSpan w:val="3"/>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r>
              <w:rPr>
                <w:rFonts w:hint="eastAsia" w:ascii="宋体" w:hAnsi="宋体" w:eastAsia="宋体" w:cs="宋体"/>
                <w:color w:val="000000"/>
                <w:kern w:val="24"/>
                <w:sz w:val="28"/>
                <w:szCs w:val="28"/>
                <w:lang w:val="en-US" w:eastAsia="zh-CN"/>
              </w:rPr>
              <w:t>区域基础设施用地（1201-1206,1311,1312）</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6.79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0.80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6.80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0.80 </w:t>
            </w:r>
          </w:p>
        </w:tc>
        <w:tc>
          <w:tcPr>
            <w:tcW w:w="60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203" w:type="pct"/>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564" w:type="pct"/>
            <w:gridSpan w:val="3"/>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r>
              <w:rPr>
                <w:rFonts w:hint="eastAsia" w:ascii="宋体" w:hAnsi="宋体" w:eastAsia="宋体" w:cs="宋体"/>
                <w:color w:val="000000"/>
                <w:kern w:val="24"/>
                <w:sz w:val="28"/>
                <w:szCs w:val="28"/>
                <w:lang w:val="en-US" w:eastAsia="zh-CN"/>
              </w:rPr>
              <w:t>其他建设用地（15,1002,1003）</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0.72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0.09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0.72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0.09 </w:t>
            </w:r>
          </w:p>
        </w:tc>
        <w:tc>
          <w:tcPr>
            <w:tcW w:w="60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203" w:type="pct"/>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564" w:type="pct"/>
            <w:gridSpan w:val="3"/>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r>
              <w:rPr>
                <w:rFonts w:hint="eastAsia" w:ascii="宋体" w:hAnsi="宋体" w:eastAsia="宋体" w:cs="宋体"/>
                <w:color w:val="000000"/>
                <w:kern w:val="24"/>
                <w:sz w:val="28"/>
                <w:szCs w:val="28"/>
                <w:lang w:val="en-US" w:eastAsia="zh-CN"/>
              </w:rPr>
              <w:t>小计</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68.14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8.06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73.58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8.70 </w:t>
            </w:r>
          </w:p>
        </w:tc>
        <w:tc>
          <w:tcPr>
            <w:tcW w:w="60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5.44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203" w:type="pct"/>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rPr>
            </w:pPr>
            <w:r>
              <w:rPr>
                <w:rFonts w:hint="eastAsia" w:ascii="宋体" w:hAnsi="宋体" w:eastAsia="宋体" w:cs="宋体"/>
                <w:color w:val="000000"/>
                <w:kern w:val="24"/>
                <w:sz w:val="28"/>
                <w:szCs w:val="28"/>
                <w:lang w:val="en-US" w:eastAsia="zh-CN"/>
              </w:rPr>
              <w:t>其他用地</w:t>
            </w:r>
          </w:p>
        </w:tc>
        <w:tc>
          <w:tcPr>
            <w:tcW w:w="2564" w:type="pct"/>
            <w:gridSpan w:val="3"/>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r>
              <w:rPr>
                <w:rFonts w:hint="eastAsia" w:ascii="宋体" w:hAnsi="宋体" w:eastAsia="宋体" w:cs="宋体"/>
                <w:color w:val="000000"/>
                <w:kern w:val="24"/>
                <w:sz w:val="28"/>
                <w:szCs w:val="28"/>
                <w:lang w:val="en-US" w:eastAsia="zh-CN"/>
              </w:rPr>
              <w:t>陆地水域（17）</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12.64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1.50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12.45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1.47 </w:t>
            </w:r>
          </w:p>
        </w:tc>
        <w:tc>
          <w:tcPr>
            <w:tcW w:w="60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-0.19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203" w:type="pct"/>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564" w:type="pct"/>
            <w:gridSpan w:val="3"/>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r>
              <w:rPr>
                <w:rFonts w:hint="eastAsia" w:ascii="宋体" w:hAnsi="宋体" w:eastAsia="宋体" w:cs="宋体"/>
                <w:color w:val="000000"/>
                <w:kern w:val="24"/>
                <w:sz w:val="28"/>
                <w:szCs w:val="28"/>
                <w:lang w:val="en-US" w:eastAsia="zh-CN"/>
              </w:rPr>
              <w:t>其他土地（23）</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1.57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0.19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1.57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0.19 </w:t>
            </w:r>
          </w:p>
        </w:tc>
        <w:tc>
          <w:tcPr>
            <w:tcW w:w="60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203" w:type="pct"/>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p>
        </w:tc>
        <w:tc>
          <w:tcPr>
            <w:tcW w:w="2564" w:type="pct"/>
            <w:gridSpan w:val="3"/>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r>
              <w:rPr>
                <w:rFonts w:hint="eastAsia" w:ascii="宋体" w:hAnsi="宋体" w:eastAsia="宋体" w:cs="宋体"/>
                <w:color w:val="000000"/>
                <w:kern w:val="24"/>
                <w:sz w:val="28"/>
                <w:szCs w:val="28"/>
                <w:lang w:val="en-US" w:eastAsia="zh-CN"/>
              </w:rPr>
              <w:t>小计</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14.22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default"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1.68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14.02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1.66 </w:t>
            </w:r>
          </w:p>
        </w:tc>
        <w:tc>
          <w:tcPr>
            <w:tcW w:w="60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-0.19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2767" w:type="pct"/>
            <w:gridSpan w:val="4"/>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rPr>
            </w:pPr>
            <w:r>
              <w:rPr>
                <w:rFonts w:hint="eastAsia" w:ascii="宋体" w:hAnsi="宋体" w:eastAsia="宋体" w:cs="宋体"/>
                <w:color w:val="000000"/>
                <w:kern w:val="24"/>
                <w:sz w:val="28"/>
                <w:szCs w:val="28"/>
                <w:lang w:val="en-US" w:eastAsia="zh-CN"/>
              </w:rPr>
              <w:t>总计</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845.54 </w:t>
            </w:r>
          </w:p>
        </w:tc>
        <w:tc>
          <w:tcPr>
            <w:tcW w:w="405" w:type="pct"/>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100</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 xml:space="preserve">845.54 </w:t>
            </w:r>
          </w:p>
        </w:tc>
        <w:tc>
          <w:tcPr>
            <w:tcW w:w="405"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100</w:t>
            </w:r>
          </w:p>
        </w:tc>
        <w:tc>
          <w:tcPr>
            <w:tcW w:w="608" w:type="pct"/>
            <w:tcBorders>
              <w:top w:val="single" w:color="000000" w:sz="8" w:space="0"/>
              <w:left w:val="single" w:color="000000" w:sz="8" w:space="0"/>
              <w:bottom w:val="single" w:color="000000" w:sz="8" w:space="0"/>
              <w:right w:val="single" w:color="000000" w:sz="8" w:space="0"/>
            </w:tcBorders>
            <w:shd w:val="clear" w:color="auto" w:fill="FFFFFF"/>
            <w:vAlign w:val="center"/>
          </w:tcPr>
          <w:p>
            <w:pPr>
              <w:widowControl/>
              <w:spacing w:line="240" w:lineRule="auto"/>
              <w:ind w:firstLine="0" w:firstLineChars="0"/>
              <w:jc w:val="center"/>
              <w:textAlignment w:val="center"/>
              <w:rPr>
                <w:rFonts w:hint="eastAsia" w:ascii="宋体" w:hAnsi="宋体" w:eastAsia="宋体" w:cs="宋体"/>
                <w:color w:val="000000"/>
                <w:kern w:val="24"/>
                <w:sz w:val="28"/>
                <w:szCs w:val="28"/>
                <w:lang w:val="en-US" w:eastAsia="zh-CN"/>
              </w:rPr>
            </w:pPr>
            <w:r>
              <w:rPr>
                <w:rFonts w:hint="eastAsia" w:ascii="宋体" w:hAnsi="宋体" w:eastAsia="宋体" w:cs="宋体"/>
                <w:color w:val="000000"/>
                <w:kern w:val="24"/>
                <w:sz w:val="28"/>
                <w:szCs w:val="28"/>
                <w:lang w:val="en-US" w:eastAsia="zh-CN"/>
              </w:rPr>
              <w:t>0</w:t>
            </w:r>
          </w:p>
        </w:tc>
      </w:tr>
    </w:tbl>
    <w:p>
      <w:pPr>
        <w:pStyle w:val="2"/>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jc w:val="both"/>
        <w:textAlignment w:val="auto"/>
        <w:rPr>
          <w:rFonts w:hint="default"/>
          <w:lang w:val="en-US" w:eastAsia="zh-CN"/>
        </w:rPr>
        <w:sectPr>
          <w:pgSz w:w="23811" w:h="16838" w:orient="landscape"/>
          <w:pgMar w:top="1800" w:right="1440" w:bottom="1800" w:left="1440" w:header="851" w:footer="992" w:gutter="0"/>
          <w:cols w:space="425" w:num="1"/>
          <w:docGrid w:type="lines" w:linePitch="312" w:charSpace="0"/>
        </w:sectPr>
      </w:pPr>
      <w:r>
        <w:rPr>
          <w:rFonts w:hint="eastAsia" w:ascii="宋体" w:hAnsi="宋体" w:eastAsia="宋体" w:cs="宋体"/>
          <w:lang w:val="en-US" w:eastAsia="zh-CN"/>
        </w:rPr>
        <w:t>附件6：规划管控规则</w:t>
      </w:r>
    </w:p>
    <w:p>
      <w:pPr>
        <w:keepNext w:val="0"/>
        <w:keepLines w:val="0"/>
        <w:widowControl/>
        <w:suppressLineNumbers w:val="0"/>
        <w:jc w:val="left"/>
      </w:pPr>
      <w:r>
        <w:rPr>
          <w:rFonts w:ascii="瀹嬩綋" w:hAnsi="瀹嬩綋" w:eastAsia="瀹嬩綋" w:cs="瀹嬩綋"/>
          <w:b/>
          <w:bCs/>
          <w:color w:val="000000"/>
          <w:kern w:val="0"/>
          <w:sz w:val="32"/>
          <w:szCs w:val="32"/>
          <w:lang w:val="en-US" w:eastAsia="zh-CN" w:bidi="ar"/>
        </w:rPr>
        <w:t xml:space="preserve">一、总体规则 </w:t>
      </w:r>
    </w:p>
    <w:p>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 xml:space="preserve">严格坚持先规划后建设原则，无规划管控的村庄原则上停止一切新增建设用地审查。严格遵守 </w:t>
      </w:r>
    </w:p>
    <w:p>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 xml:space="preserve">乡镇国土空间规划等上位规划或专项规划确定的管制规则。鼓励根据实际需求以负面清单或准入清单形式明确各类空间规划管控要求。 </w:t>
      </w:r>
    </w:p>
    <w:p>
      <w:pPr>
        <w:keepNext w:val="0"/>
        <w:keepLines w:val="0"/>
        <w:widowControl/>
        <w:suppressLineNumbers w:val="0"/>
        <w:jc w:val="left"/>
      </w:pPr>
      <w:r>
        <w:rPr>
          <w:rFonts w:hint="default" w:ascii="瀹嬩綋" w:hAnsi="瀹嬩綋" w:eastAsia="瀹嬩綋" w:cs="瀹嬩綋"/>
          <w:b/>
          <w:bCs/>
          <w:color w:val="000000"/>
          <w:kern w:val="0"/>
          <w:sz w:val="32"/>
          <w:szCs w:val="32"/>
          <w:lang w:val="en-US" w:eastAsia="zh-CN" w:bidi="ar"/>
        </w:rPr>
        <w:t xml:space="preserve">二、农业空间管控规则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1</w:t>
      </w:r>
      <w:r>
        <w:rPr>
          <w:rFonts w:hint="default" w:ascii="瀹嬩綋" w:hAnsi="瀹嬩綋" w:eastAsia="瀹嬩綋" w:cs="瀹嬩綋"/>
          <w:color w:val="000000"/>
          <w:kern w:val="0"/>
          <w:sz w:val="24"/>
          <w:szCs w:val="24"/>
          <w:lang w:val="en-US" w:eastAsia="zh-CN" w:bidi="ar"/>
        </w:rPr>
        <w:t xml:space="preserve">、永久基本农田保护红线 </w:t>
      </w:r>
    </w:p>
    <w:p>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 xml:space="preserve">按照《土地法》、《基本农田保护条例》等的相关规定管理。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2</w:t>
      </w:r>
      <w:r>
        <w:rPr>
          <w:rFonts w:hint="default" w:ascii="瀹嬩綋" w:hAnsi="瀹嬩綋" w:eastAsia="瀹嬩綋" w:cs="瀹嬩綋"/>
          <w:color w:val="000000"/>
          <w:kern w:val="0"/>
          <w:sz w:val="24"/>
          <w:szCs w:val="24"/>
          <w:lang w:val="en-US" w:eastAsia="zh-CN" w:bidi="ar"/>
        </w:rPr>
        <w:t xml:space="preserve">、一般农业空间： </w:t>
      </w:r>
    </w:p>
    <w:p>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1</w:t>
      </w:r>
      <w:r>
        <w:rPr>
          <w:rFonts w:hint="default" w:ascii="瀹嬩綋" w:hAnsi="瀹嬩綋" w:eastAsia="瀹嬩綋" w:cs="瀹嬩綋"/>
          <w:color w:val="000000"/>
          <w:kern w:val="0"/>
          <w:sz w:val="24"/>
          <w:szCs w:val="24"/>
          <w:lang w:val="en-US" w:eastAsia="zh-CN" w:bidi="ar"/>
        </w:rPr>
        <w:t xml:space="preserve">）严格控制一般农业空间内的农用地转用，对质量等级较高的耕地、园地、林地等农用地 </w:t>
      </w:r>
    </w:p>
    <w:p>
      <w:pPr>
        <w:keepNext w:val="0"/>
        <w:keepLines w:val="0"/>
        <w:widowControl/>
        <w:suppressLineNumbers w:val="0"/>
        <w:ind w:left="0" w:leftChars="0" w:firstLine="0" w:firstLineChars="0"/>
        <w:jc w:val="left"/>
      </w:pPr>
      <w:r>
        <w:rPr>
          <w:rFonts w:hint="default" w:ascii="瀹嬩綋" w:hAnsi="瀹嬩綋" w:eastAsia="瀹嬩綋" w:cs="瀹嬩綋"/>
          <w:color w:val="000000"/>
          <w:kern w:val="0"/>
          <w:sz w:val="24"/>
          <w:szCs w:val="24"/>
          <w:lang w:val="en-US" w:eastAsia="zh-CN" w:bidi="ar"/>
        </w:rPr>
        <w:t xml:space="preserve">实行优先保护。 </w:t>
      </w:r>
    </w:p>
    <w:p>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2</w:t>
      </w:r>
      <w:r>
        <w:rPr>
          <w:rFonts w:hint="default" w:ascii="瀹嬩綋" w:hAnsi="瀹嬩綋" w:eastAsia="瀹嬩綋" w:cs="瀹嬩綋"/>
          <w:color w:val="000000"/>
          <w:kern w:val="0"/>
          <w:sz w:val="24"/>
          <w:szCs w:val="24"/>
          <w:lang w:val="en-US" w:eastAsia="zh-CN" w:bidi="ar"/>
        </w:rPr>
        <w:t xml:space="preserve">）一般农业空间内禁止建窑、建房或者擅自挖沙、取土、堆放固体废弃物；禁止采矿建设； </w:t>
      </w:r>
    </w:p>
    <w:p>
      <w:pPr>
        <w:keepNext w:val="0"/>
        <w:keepLines w:val="0"/>
        <w:widowControl/>
        <w:suppressLineNumbers w:val="0"/>
        <w:ind w:left="0" w:leftChars="0" w:firstLine="0" w:firstLineChars="0"/>
        <w:jc w:val="left"/>
      </w:pPr>
      <w:r>
        <w:rPr>
          <w:rFonts w:hint="default" w:ascii="瀹嬩綋" w:hAnsi="瀹嬩綋" w:eastAsia="瀹嬩綋" w:cs="瀹嬩綋"/>
          <w:color w:val="000000"/>
          <w:kern w:val="0"/>
          <w:sz w:val="24"/>
          <w:szCs w:val="24"/>
          <w:lang w:val="en-US" w:eastAsia="zh-CN" w:bidi="ar"/>
        </w:rPr>
        <w:t xml:space="preserve">禁止三类工业及涉及有毒有害物质排放的工业新建、改建、扩建，现有企业应逐步关闭搬迁；禁止 </w:t>
      </w:r>
    </w:p>
    <w:p>
      <w:pPr>
        <w:keepNext w:val="0"/>
        <w:keepLines w:val="0"/>
        <w:widowControl/>
        <w:suppressLineNumbers w:val="0"/>
        <w:ind w:left="0" w:leftChars="0" w:firstLine="0" w:firstLineChars="0"/>
        <w:jc w:val="left"/>
      </w:pPr>
      <w:r>
        <w:rPr>
          <w:rFonts w:hint="default" w:ascii="瀹嬩綋" w:hAnsi="瀹嬩綋" w:eastAsia="瀹嬩綋" w:cs="瀹嬩綋"/>
          <w:color w:val="000000"/>
          <w:kern w:val="0"/>
          <w:sz w:val="24"/>
          <w:szCs w:val="24"/>
          <w:lang w:val="en-US" w:eastAsia="zh-CN" w:bidi="ar"/>
        </w:rPr>
        <w:t xml:space="preserve">二类工业新建、扩建，现有项目改建只能在原址进行，并须符合环保部门污染物排放总量控制要求； </w:t>
      </w:r>
    </w:p>
    <w:p>
      <w:pPr>
        <w:keepNext w:val="0"/>
        <w:keepLines w:val="0"/>
        <w:widowControl/>
        <w:suppressLineNumbers w:val="0"/>
        <w:ind w:left="0" w:leftChars="0" w:firstLine="0" w:firstLineChars="0"/>
        <w:jc w:val="left"/>
      </w:pPr>
      <w:r>
        <w:rPr>
          <w:rFonts w:hint="default" w:ascii="瀹嬩綋" w:hAnsi="瀹嬩綋" w:eastAsia="瀹嬩綋" w:cs="瀹嬩綋"/>
          <w:color w:val="000000"/>
          <w:kern w:val="0"/>
          <w:sz w:val="24"/>
          <w:szCs w:val="24"/>
          <w:lang w:val="en-US" w:eastAsia="zh-CN" w:bidi="ar"/>
        </w:rPr>
        <w:t xml:space="preserve">各地可根据当地实际情况制定一般农业空间产业准入负面清单。 </w:t>
      </w:r>
    </w:p>
    <w:p>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3</w:t>
      </w:r>
      <w:r>
        <w:rPr>
          <w:rFonts w:hint="default" w:ascii="瀹嬩綋" w:hAnsi="瀹嬩綋" w:eastAsia="瀹嬩綋" w:cs="瀹嬩綋"/>
          <w:color w:val="000000"/>
          <w:kern w:val="0"/>
          <w:sz w:val="24"/>
          <w:szCs w:val="24"/>
          <w:lang w:val="en-US" w:eastAsia="zh-CN" w:bidi="ar"/>
        </w:rPr>
        <w:t xml:space="preserve">）从严控制一般农业空间转为城镇空间，加强建设活动的监督管理，经批准建设占用区内 </w:t>
      </w:r>
    </w:p>
    <w:p>
      <w:pPr>
        <w:keepNext w:val="0"/>
        <w:keepLines w:val="0"/>
        <w:widowControl/>
        <w:suppressLineNumbers w:val="0"/>
        <w:ind w:left="0" w:leftChars="0" w:firstLine="0" w:firstLineChars="0"/>
        <w:jc w:val="left"/>
      </w:pPr>
      <w:r>
        <w:rPr>
          <w:rFonts w:hint="default" w:ascii="瀹嬩綋" w:hAnsi="瀹嬩綋" w:eastAsia="瀹嬩綋" w:cs="瀹嬩綋"/>
          <w:color w:val="000000"/>
          <w:kern w:val="0"/>
          <w:sz w:val="24"/>
          <w:szCs w:val="24"/>
          <w:lang w:val="en-US" w:eastAsia="zh-CN" w:bidi="ar"/>
        </w:rPr>
        <w:t xml:space="preserve">耕地，需按照“耕地占补平衡”原则，补充数量和质量相当的耕地。 </w:t>
      </w:r>
    </w:p>
    <w:p>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4</w:t>
      </w:r>
      <w:r>
        <w:rPr>
          <w:rFonts w:hint="default" w:ascii="瀹嬩綋" w:hAnsi="瀹嬩綋" w:eastAsia="瀹嬩綋" w:cs="瀹嬩綋"/>
          <w:color w:val="000000"/>
          <w:kern w:val="0"/>
          <w:sz w:val="24"/>
          <w:szCs w:val="24"/>
          <w:lang w:val="en-US" w:eastAsia="zh-CN" w:bidi="ar"/>
        </w:rPr>
        <w:t xml:space="preserve">）一般农业空间内的建设活动以盘活存量、优化结构为主，严格控制增量，增量利用应发挥农业生产功能为导向；鼓励一般农业空间内的废弃工矿和闲置宅基地复垦为农用地，引导宅基地 </w:t>
      </w:r>
    </w:p>
    <w:p>
      <w:pPr>
        <w:keepNext w:val="0"/>
        <w:keepLines w:val="0"/>
        <w:widowControl/>
        <w:suppressLineNumbers w:val="0"/>
        <w:ind w:left="0" w:leftChars="0" w:firstLine="0" w:firstLineChars="0"/>
        <w:jc w:val="left"/>
      </w:pPr>
      <w:r>
        <w:rPr>
          <w:rFonts w:hint="default" w:ascii="瀹嬩綋" w:hAnsi="瀹嬩綋" w:eastAsia="瀹嬩綋" w:cs="瀹嬩綋"/>
          <w:color w:val="000000"/>
          <w:kern w:val="0"/>
          <w:sz w:val="24"/>
          <w:szCs w:val="24"/>
          <w:lang w:val="en-US" w:eastAsia="zh-CN" w:bidi="ar"/>
        </w:rPr>
        <w:t xml:space="preserve">自愿有偿退出；对未利用地和废弃工矿、宅基地等规划用地开垦或复垦为耕地的，不得改作其他用 途，对新增的耕地应加强管理。 </w:t>
      </w:r>
    </w:p>
    <w:p>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5</w:t>
      </w:r>
      <w:r>
        <w:rPr>
          <w:rFonts w:hint="default" w:ascii="瀹嬩綋" w:hAnsi="瀹嬩綋" w:eastAsia="瀹嬩綋" w:cs="瀹嬩綋"/>
          <w:color w:val="000000"/>
          <w:kern w:val="0"/>
          <w:sz w:val="24"/>
          <w:szCs w:val="24"/>
          <w:lang w:val="en-US" w:eastAsia="zh-CN" w:bidi="ar"/>
        </w:rPr>
        <w:t xml:space="preserve">）对于一般农业空间内属农业生产过程中所需各类生产设施和附属设施用地，以及由于农 </w:t>
      </w:r>
    </w:p>
    <w:p>
      <w:pPr>
        <w:keepNext w:val="0"/>
        <w:keepLines w:val="0"/>
        <w:widowControl/>
        <w:suppressLineNumbers w:val="0"/>
        <w:ind w:left="0" w:leftChars="0" w:firstLine="0" w:firstLineChars="0"/>
        <w:jc w:val="left"/>
      </w:pPr>
      <w:r>
        <w:rPr>
          <w:rFonts w:hint="default" w:ascii="瀹嬩綋" w:hAnsi="瀹嬩綋" w:eastAsia="瀹嬩綋" w:cs="瀹嬩綋"/>
          <w:color w:val="000000"/>
          <w:kern w:val="0"/>
          <w:sz w:val="24"/>
          <w:szCs w:val="24"/>
          <w:lang w:val="en-US" w:eastAsia="zh-CN" w:bidi="ar"/>
        </w:rPr>
        <w:t xml:space="preserve">业规模经营必须兴建的配套设施，在不占用永久基本农田的前提下，纳入设施农用地管理。设施农 </w:t>
      </w:r>
    </w:p>
    <w:p>
      <w:pPr>
        <w:keepNext w:val="0"/>
        <w:keepLines w:val="0"/>
        <w:widowControl/>
        <w:suppressLineNumbers w:val="0"/>
        <w:ind w:left="0" w:leftChars="0" w:firstLine="0" w:firstLineChars="0"/>
        <w:jc w:val="left"/>
      </w:pPr>
      <w:r>
        <w:rPr>
          <w:rFonts w:hint="default" w:ascii="瀹嬩綋" w:hAnsi="瀹嬩綋" w:eastAsia="瀹嬩綋" w:cs="瀹嬩綋"/>
          <w:color w:val="000000"/>
          <w:kern w:val="0"/>
          <w:sz w:val="24"/>
          <w:szCs w:val="24"/>
          <w:lang w:val="en-US" w:eastAsia="zh-CN" w:bidi="ar"/>
        </w:rPr>
        <w:t xml:space="preserve">用地使用按规定由乡镇政府（街道办事处）、村委会（农村集体经济组织）和经营主体三方共同签 </w:t>
      </w:r>
    </w:p>
    <w:p>
      <w:pPr>
        <w:keepNext w:val="0"/>
        <w:keepLines w:val="0"/>
        <w:widowControl/>
        <w:suppressLineNumbers w:val="0"/>
        <w:ind w:left="0" w:leftChars="0" w:firstLine="0" w:firstLineChars="0"/>
        <w:jc w:val="left"/>
      </w:pPr>
      <w:r>
        <w:rPr>
          <w:rFonts w:hint="default" w:ascii="瀹嬩綋" w:hAnsi="瀹嬩綋" w:eastAsia="瀹嬩綋" w:cs="瀹嬩綋"/>
          <w:color w:val="000000"/>
          <w:kern w:val="0"/>
          <w:sz w:val="24"/>
          <w:szCs w:val="24"/>
          <w:lang w:val="en-US" w:eastAsia="zh-CN" w:bidi="ar"/>
        </w:rPr>
        <w:t xml:space="preserve">订用地协议并报县级备案，不需要办理农用地转用审批。 </w:t>
      </w:r>
    </w:p>
    <w:p>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6</w:t>
      </w:r>
      <w:r>
        <w:rPr>
          <w:rFonts w:hint="default" w:ascii="瀹嬩綋" w:hAnsi="瀹嬩綋" w:eastAsia="瀹嬩綋" w:cs="瀹嬩綋"/>
          <w:color w:val="000000"/>
          <w:kern w:val="0"/>
          <w:sz w:val="24"/>
          <w:szCs w:val="24"/>
          <w:lang w:val="en-US" w:eastAsia="zh-CN" w:bidi="ar"/>
        </w:rPr>
        <w:t xml:space="preserve">）允许符合要求的零星建设项目用地使用预留的机动指标，待建设项目规划审批时落地机 </w:t>
      </w:r>
    </w:p>
    <w:p>
      <w:pPr>
        <w:keepNext w:val="0"/>
        <w:keepLines w:val="0"/>
        <w:widowControl/>
        <w:suppressLineNumbers w:val="0"/>
        <w:ind w:left="0" w:leftChars="0" w:firstLine="0" w:firstLineChars="0"/>
        <w:jc w:val="left"/>
      </w:pPr>
      <w:r>
        <w:rPr>
          <w:rFonts w:hint="default" w:ascii="瀹嬩綋" w:hAnsi="瀹嬩綋" w:eastAsia="瀹嬩綋" w:cs="瀹嬩綋"/>
          <w:color w:val="000000"/>
          <w:kern w:val="0"/>
          <w:sz w:val="24"/>
          <w:szCs w:val="24"/>
          <w:lang w:val="en-US" w:eastAsia="zh-CN" w:bidi="ar"/>
        </w:rPr>
        <w:t xml:space="preserve">动指标、明确规划用地性质。 </w:t>
      </w:r>
    </w:p>
    <w:p>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7</w:t>
      </w:r>
      <w:r>
        <w:rPr>
          <w:rFonts w:hint="default" w:ascii="瀹嬩綋" w:hAnsi="瀹嬩綋" w:eastAsia="瀹嬩綋" w:cs="瀹嬩綋"/>
          <w:color w:val="000000"/>
          <w:kern w:val="0"/>
          <w:sz w:val="24"/>
          <w:szCs w:val="24"/>
          <w:lang w:val="en-US" w:eastAsia="zh-CN" w:bidi="ar"/>
        </w:rPr>
        <w:t xml:space="preserve">）允许实施农林复合利用，但严禁挖湖造景等行为。 </w:t>
      </w:r>
    </w:p>
    <w:p>
      <w:pPr>
        <w:keepNext w:val="0"/>
        <w:keepLines w:val="0"/>
        <w:widowControl/>
        <w:suppressLineNumbers w:val="0"/>
        <w:jc w:val="left"/>
      </w:pPr>
      <w:r>
        <w:rPr>
          <w:rFonts w:hint="default" w:ascii="瀹嬩綋" w:hAnsi="瀹嬩綋" w:eastAsia="瀹嬩綋" w:cs="瀹嬩綋"/>
          <w:b/>
          <w:bCs/>
          <w:color w:val="000000"/>
          <w:kern w:val="0"/>
          <w:sz w:val="32"/>
          <w:szCs w:val="32"/>
          <w:lang w:val="en-US" w:eastAsia="zh-CN" w:bidi="ar"/>
        </w:rPr>
        <w:t xml:space="preserve">三、生态空间管控规则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1</w:t>
      </w:r>
      <w:r>
        <w:rPr>
          <w:rFonts w:hint="default" w:ascii="瀹嬩綋" w:hAnsi="瀹嬩綋" w:eastAsia="瀹嬩綋" w:cs="瀹嬩綋"/>
          <w:color w:val="000000"/>
          <w:kern w:val="0"/>
          <w:sz w:val="24"/>
          <w:szCs w:val="24"/>
          <w:lang w:val="en-US" w:eastAsia="zh-CN" w:bidi="ar"/>
        </w:rPr>
        <w:t xml:space="preserve">、生态保护红线 </w:t>
      </w:r>
    </w:p>
    <w:p>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 xml:space="preserve">严格执行生态保护红线相关管控规定。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2</w:t>
      </w:r>
      <w:r>
        <w:rPr>
          <w:rFonts w:hint="default" w:ascii="瀹嬩綋" w:hAnsi="瀹嬩綋" w:eastAsia="瀹嬩綋" w:cs="瀹嬩綋"/>
          <w:color w:val="000000"/>
          <w:kern w:val="0"/>
          <w:sz w:val="24"/>
          <w:szCs w:val="24"/>
          <w:lang w:val="en-US" w:eastAsia="zh-CN" w:bidi="ar"/>
        </w:rPr>
        <w:t xml:space="preserve">、一般生态空间 </w:t>
      </w:r>
    </w:p>
    <w:p>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1</w:t>
      </w:r>
      <w:r>
        <w:rPr>
          <w:rFonts w:hint="default" w:ascii="瀹嬩綋" w:hAnsi="瀹嬩綋" w:eastAsia="瀹嬩綋" w:cs="瀹嬩綋"/>
          <w:color w:val="000000"/>
          <w:kern w:val="0"/>
          <w:sz w:val="24"/>
          <w:szCs w:val="24"/>
          <w:lang w:val="en-US" w:eastAsia="zh-CN" w:bidi="ar"/>
        </w:rPr>
        <w:t xml:space="preserve">）一般生态空间原则上按限制开发区的要求进行管理，严格实行区域准入和用途转用许可 制度。对一般生态空间内风景名胜区、森林公园、饮用水水源保护区等各类保护地的管理。法律法规和规章另有规定的，从其规定。 </w:t>
      </w:r>
    </w:p>
    <w:p>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2</w:t>
      </w:r>
      <w:r>
        <w:rPr>
          <w:rFonts w:hint="default" w:ascii="瀹嬩綋" w:hAnsi="瀹嬩綋" w:eastAsia="瀹嬩綋" w:cs="瀹嬩綋"/>
          <w:color w:val="000000"/>
          <w:kern w:val="0"/>
          <w:sz w:val="24"/>
          <w:szCs w:val="24"/>
          <w:lang w:val="en-US" w:eastAsia="zh-CN" w:bidi="ar"/>
        </w:rPr>
        <w:t xml:space="preserve">）严格控制各类开发活动占用、破坏。禁止新建、扩建、改建除农村一二三产业融合以外的工业项目；禁止房地产开发活动；禁止违规毁林开荒、围湖造田、侵占滩涂湿地；禁止新、改、扩建对生态环境安全有影响的矿产资源开发项目；各地可根据当地实际情况制定一般生态空间产业准 入负面清单。 </w:t>
      </w:r>
    </w:p>
    <w:p>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3</w:t>
      </w:r>
      <w:r>
        <w:rPr>
          <w:rFonts w:hint="default" w:ascii="瀹嬩綋" w:hAnsi="瀹嬩綋" w:eastAsia="瀹嬩綋" w:cs="瀹嬩綋"/>
          <w:color w:val="000000"/>
          <w:kern w:val="0"/>
          <w:sz w:val="24"/>
          <w:szCs w:val="24"/>
          <w:lang w:val="en-US" w:eastAsia="zh-CN" w:bidi="ar"/>
        </w:rPr>
        <w:t xml:space="preserve">）从严控制建设开发和农业利用强度，从严控制生态用地向农业用地、城镇用地转用；一 </w:t>
      </w:r>
    </w:p>
    <w:p>
      <w:pPr>
        <w:keepNext w:val="0"/>
        <w:keepLines w:val="0"/>
        <w:widowControl/>
        <w:suppressLineNumbers w:val="0"/>
        <w:ind w:left="0" w:leftChars="0" w:firstLine="0" w:firstLineChars="0"/>
        <w:jc w:val="left"/>
      </w:pPr>
      <w:r>
        <w:rPr>
          <w:rFonts w:hint="default" w:ascii="瀹嬩綋" w:hAnsi="瀹嬩綋" w:eastAsia="瀹嬩綋" w:cs="瀹嬩綋"/>
          <w:color w:val="000000"/>
          <w:kern w:val="0"/>
          <w:sz w:val="24"/>
          <w:szCs w:val="24"/>
          <w:lang w:val="en-US" w:eastAsia="zh-CN" w:bidi="ar"/>
        </w:rPr>
        <w:t xml:space="preserve">般生态空间内的建设活动以盘活存量、优化结构为主，严格控制增量，增量利用应发挥生态服务功能为导向。 </w:t>
      </w:r>
    </w:p>
    <w:p>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4</w:t>
      </w:r>
      <w:r>
        <w:rPr>
          <w:rFonts w:hint="default" w:ascii="瀹嬩綋" w:hAnsi="瀹嬩綋" w:eastAsia="瀹嬩綋" w:cs="瀹嬩綋"/>
          <w:color w:val="000000"/>
          <w:kern w:val="0"/>
          <w:sz w:val="24"/>
          <w:szCs w:val="24"/>
          <w:lang w:val="en-US" w:eastAsia="zh-CN" w:bidi="ar"/>
        </w:rPr>
        <w:t xml:space="preserve">）鼓励农村生活、生产类建设用地逐步退出，鼓励农业用地、城镇用地向生态用地转用，鼓励结合土地综合整治、工矿废弃地复垦利用、矿山环境恢复治理等各类工程实施，因地制宜促进生态空间内建设用地逐步有序退出。 </w:t>
      </w:r>
    </w:p>
    <w:p>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5</w:t>
      </w:r>
      <w:r>
        <w:rPr>
          <w:rFonts w:hint="default" w:ascii="瀹嬩綋" w:hAnsi="瀹嬩綋" w:eastAsia="瀹嬩綋" w:cs="瀹嬩綋"/>
          <w:color w:val="000000"/>
          <w:kern w:val="0"/>
          <w:sz w:val="24"/>
          <w:szCs w:val="24"/>
          <w:lang w:val="en-US" w:eastAsia="zh-CN" w:bidi="ar"/>
        </w:rPr>
        <w:t xml:space="preserve">）加强生态修复监督管理，集体土地所有者、土地使用单位和个人应认真履行有关法定义务，及时恢复因不合理建设开发、矿产开采、农业开垦等破坏的一般生态空间。 </w:t>
      </w:r>
    </w:p>
    <w:p>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6</w:t>
      </w:r>
      <w:r>
        <w:rPr>
          <w:rFonts w:hint="default" w:ascii="瀹嬩綋" w:hAnsi="瀹嬩綋" w:eastAsia="瀹嬩綋" w:cs="瀹嬩綋"/>
          <w:color w:val="000000"/>
          <w:kern w:val="0"/>
          <w:sz w:val="24"/>
          <w:szCs w:val="24"/>
          <w:lang w:val="en-US" w:eastAsia="zh-CN" w:bidi="ar"/>
        </w:rPr>
        <w:t xml:space="preserve">）允许农业复合利用，控制农业开发强度，减少农药、化肥投入，实行休耕和种植结构调整，发展生态农业、绿色农业；鼓励 </w:t>
      </w:r>
      <w:r>
        <w:rPr>
          <w:rFonts w:hint="default" w:ascii="Times New Roman" w:hAnsi="Times New Roman" w:eastAsia="宋体" w:cs="Times New Roman"/>
          <w:color w:val="000000"/>
          <w:kern w:val="0"/>
          <w:sz w:val="24"/>
          <w:szCs w:val="24"/>
          <w:lang w:val="en-US" w:eastAsia="zh-CN" w:bidi="ar"/>
        </w:rPr>
        <w:t xml:space="preserve">25 </w:t>
      </w:r>
      <w:r>
        <w:rPr>
          <w:rFonts w:hint="default" w:ascii="瀹嬩綋" w:hAnsi="瀹嬩綋" w:eastAsia="瀹嬩綋" w:cs="瀹嬩綋"/>
          <w:color w:val="000000"/>
          <w:kern w:val="0"/>
          <w:sz w:val="24"/>
          <w:szCs w:val="24"/>
          <w:lang w:val="en-US" w:eastAsia="zh-CN" w:bidi="ar"/>
        </w:rPr>
        <w:t xml:space="preserve">度以上的坡耕地逐步实施退耕，加强生态保护与建设，提 升区域生态服务功能；在不损害生态功能的前提下，因地制宜地适度发展旅游、农林牧产品生产和 加工等产业。 </w:t>
      </w:r>
    </w:p>
    <w:p>
      <w:pPr>
        <w:keepNext w:val="0"/>
        <w:keepLines w:val="0"/>
        <w:widowControl/>
        <w:suppressLineNumbers w:val="0"/>
        <w:jc w:val="left"/>
      </w:pPr>
      <w:r>
        <w:rPr>
          <w:rFonts w:hint="default" w:ascii="瀹嬩綋" w:hAnsi="瀹嬩綋" w:eastAsia="瀹嬩綋" w:cs="瀹嬩綋"/>
          <w:b/>
          <w:bCs/>
          <w:color w:val="000000"/>
          <w:kern w:val="0"/>
          <w:sz w:val="32"/>
          <w:szCs w:val="32"/>
          <w:lang w:val="en-US" w:eastAsia="zh-CN" w:bidi="ar"/>
        </w:rPr>
        <w:t xml:space="preserve">四、建设空间管控规则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1</w:t>
      </w:r>
      <w:r>
        <w:rPr>
          <w:rFonts w:hint="default" w:ascii="瀹嬩綋" w:hAnsi="瀹嬩綋" w:eastAsia="瀹嬩綋" w:cs="瀹嬩綋"/>
          <w:color w:val="000000"/>
          <w:kern w:val="0"/>
          <w:sz w:val="24"/>
          <w:szCs w:val="24"/>
          <w:lang w:val="en-US" w:eastAsia="zh-CN" w:bidi="ar"/>
        </w:rPr>
        <w:t xml:space="preserve">、村庄建设边界 </w:t>
      </w:r>
    </w:p>
    <w:p>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 xml:space="preserve">规划期内村庄建设边界原则上不得调整，如需调整按规划修改处理，严格论证，报原审批机关 批准。 </w:t>
      </w:r>
    </w:p>
    <w:p>
      <w:pPr>
        <w:keepNext w:val="0"/>
        <w:keepLines w:val="0"/>
        <w:widowControl/>
        <w:suppressLineNumbers w:val="0"/>
        <w:jc w:val="left"/>
        <w:rPr>
          <w:rFonts w:hint="default" w:ascii="瀹嬩綋" w:hAnsi="瀹嬩綋" w:eastAsia="瀹嬩綋" w:cs="瀹嬩綋"/>
          <w:color w:val="000000"/>
          <w:kern w:val="0"/>
          <w:sz w:val="24"/>
          <w:szCs w:val="24"/>
          <w:lang w:val="en-US" w:eastAsia="zh-CN" w:bidi="ar"/>
        </w:rPr>
        <w:sectPr>
          <w:type w:val="continuous"/>
          <w:pgSz w:w="23811" w:h="16838" w:orient="landscape"/>
          <w:pgMar w:top="1800" w:right="1440" w:bottom="1800" w:left="1440" w:header="851" w:footer="992" w:gutter="0"/>
          <w:cols w:equalWidth="0" w:num="2">
            <w:col w:w="10253" w:space="425"/>
            <w:col w:w="10253"/>
          </w:cols>
          <w:docGrid w:type="lines" w:linePitch="312" w:charSpace="0"/>
        </w:sectPr>
      </w:pPr>
    </w:p>
    <w:p>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 xml:space="preserve">有序推进空心村整治和村庄迁并，合理安排农村建设用地，优先满足村民住房和农村基本公共 </w:t>
      </w:r>
    </w:p>
    <w:p>
      <w:pPr>
        <w:keepNext w:val="0"/>
        <w:keepLines w:val="0"/>
        <w:widowControl/>
        <w:suppressLineNumbers w:val="0"/>
        <w:ind w:left="0" w:leftChars="0" w:firstLine="0" w:firstLineChars="0"/>
        <w:jc w:val="left"/>
      </w:pPr>
      <w:r>
        <w:rPr>
          <w:rFonts w:hint="default" w:ascii="瀹嬩綋" w:hAnsi="瀹嬩綋" w:eastAsia="瀹嬩綋" w:cs="瀹嬩綋"/>
          <w:color w:val="000000"/>
          <w:kern w:val="0"/>
          <w:sz w:val="24"/>
          <w:szCs w:val="24"/>
          <w:lang w:val="en-US" w:eastAsia="zh-CN" w:bidi="ar"/>
        </w:rPr>
        <w:t xml:space="preserve">服务设施用地需求。适度允许区域性基础设施建设、生态环境保护工程配套、生态旅游开发及特殊 </w:t>
      </w:r>
    </w:p>
    <w:p>
      <w:pPr>
        <w:keepNext w:val="0"/>
        <w:keepLines w:val="0"/>
        <w:widowControl/>
        <w:suppressLineNumbers w:val="0"/>
        <w:ind w:left="0" w:leftChars="0" w:firstLine="0" w:firstLineChars="0"/>
        <w:jc w:val="left"/>
        <w:rPr>
          <w:rFonts w:hint="default" w:ascii="瀹嬩綋" w:hAnsi="瀹嬩綋" w:eastAsia="瀹嬩綋" w:cs="瀹嬩綋"/>
          <w:color w:val="000000"/>
          <w:kern w:val="0"/>
          <w:sz w:val="24"/>
          <w:szCs w:val="24"/>
          <w:lang w:val="en-US" w:eastAsia="zh-CN" w:bidi="ar"/>
        </w:rPr>
      </w:pPr>
      <w:r>
        <w:rPr>
          <w:rFonts w:hint="default" w:ascii="瀹嬩綋" w:hAnsi="瀹嬩綋" w:eastAsia="瀹嬩綋" w:cs="瀹嬩綋"/>
          <w:color w:val="000000"/>
          <w:kern w:val="0"/>
          <w:sz w:val="24"/>
          <w:szCs w:val="24"/>
          <w:lang w:val="en-US" w:eastAsia="zh-CN" w:bidi="ar"/>
        </w:rPr>
        <w:t>用地建设，严格控制开发强度和非农活动影响范围。 建筑退距、建筑间距、建设风貌应当执行相应</w:t>
      </w:r>
    </w:p>
    <w:p>
      <w:pPr>
        <w:keepNext w:val="0"/>
        <w:keepLines w:val="0"/>
        <w:widowControl/>
        <w:suppressLineNumbers w:val="0"/>
        <w:ind w:left="0" w:leftChars="0" w:firstLine="0" w:firstLineChars="0"/>
        <w:jc w:val="left"/>
        <w:rPr>
          <w:rFonts w:hint="default" w:ascii="瀹嬩綋" w:hAnsi="瀹嬩綋" w:eastAsia="瀹嬩綋" w:cs="瀹嬩綋"/>
          <w:color w:val="000000"/>
          <w:kern w:val="0"/>
          <w:sz w:val="24"/>
          <w:szCs w:val="24"/>
          <w:lang w:val="en-US" w:eastAsia="zh-CN" w:bidi="ar"/>
        </w:rPr>
      </w:pPr>
      <w:r>
        <w:rPr>
          <w:rFonts w:hint="default" w:ascii="瀹嬩綋" w:hAnsi="瀹嬩綋" w:eastAsia="瀹嬩綋" w:cs="瀹嬩綋"/>
          <w:color w:val="000000"/>
          <w:kern w:val="0"/>
          <w:sz w:val="24"/>
          <w:szCs w:val="24"/>
          <w:lang w:val="en-US" w:eastAsia="zh-CN" w:bidi="ar"/>
        </w:rPr>
        <w:t>的管控要求。</w:t>
      </w:r>
    </w:p>
    <w:p>
      <w:pPr>
        <w:keepNext w:val="0"/>
        <w:keepLines w:val="0"/>
        <w:widowControl/>
        <w:numPr>
          <w:ilvl w:val="0"/>
          <w:numId w:val="2"/>
        </w:numPr>
        <w:suppressLineNumbers w:val="0"/>
        <w:ind w:left="0" w:leftChars="0" w:firstLine="480" w:firstLineChars="200"/>
        <w:jc w:val="left"/>
        <w:rPr>
          <w:rFonts w:hint="default" w:ascii="瀹嬩綋" w:hAnsi="瀹嬩綋" w:eastAsia="瀹嬩綋" w:cs="瀹嬩綋"/>
          <w:color w:val="000000"/>
          <w:kern w:val="0"/>
          <w:sz w:val="24"/>
          <w:szCs w:val="24"/>
          <w:lang w:val="en-US" w:eastAsia="zh-CN" w:bidi="ar"/>
        </w:rPr>
      </w:pPr>
      <w:r>
        <w:rPr>
          <w:rFonts w:hint="default" w:ascii="瀹嬩綋" w:hAnsi="瀹嬩綋" w:eastAsia="瀹嬩綋" w:cs="瀹嬩綋"/>
          <w:color w:val="000000"/>
          <w:kern w:val="0"/>
          <w:sz w:val="24"/>
          <w:szCs w:val="24"/>
          <w:lang w:val="en-US" w:eastAsia="zh-CN" w:bidi="ar"/>
        </w:rPr>
        <w:t xml:space="preserve">零星建设用地 </w:t>
      </w:r>
    </w:p>
    <w:p>
      <w:pPr>
        <w:keepNext w:val="0"/>
        <w:keepLines w:val="0"/>
        <w:widowControl/>
        <w:suppressLineNumbers w:val="0"/>
        <w:jc w:val="left"/>
        <w:rPr>
          <w:rFonts w:hint="default" w:ascii="瀹嬩綋" w:hAnsi="瀹嬩綋" w:eastAsia="瀹嬩綋" w:cs="瀹嬩綋"/>
          <w:color w:val="000000"/>
          <w:kern w:val="0"/>
          <w:sz w:val="24"/>
          <w:szCs w:val="24"/>
          <w:lang w:val="en-US" w:eastAsia="zh-CN" w:bidi="ar"/>
        </w:rPr>
      </w:pPr>
      <w:r>
        <w:rPr>
          <w:rFonts w:hint="default" w:ascii="瀹嬩綋" w:hAnsi="瀹嬩綋" w:eastAsia="瀹嬩綋" w:cs="瀹嬩綋"/>
          <w:color w:val="000000"/>
          <w:kern w:val="0"/>
          <w:sz w:val="24"/>
          <w:szCs w:val="24"/>
          <w:lang w:val="en-US" w:eastAsia="zh-CN" w:bidi="ar"/>
        </w:rPr>
        <w:t>指为改善村民生活条件，支持农村新产业新业态和产业融合发展，零星分布的农村公共公益设</w:t>
      </w:r>
    </w:p>
    <w:p>
      <w:pPr>
        <w:keepNext w:val="0"/>
        <w:keepLines w:val="0"/>
        <w:widowControl/>
        <w:suppressLineNumbers w:val="0"/>
        <w:ind w:left="0" w:leftChars="0" w:firstLine="0" w:firstLineChars="0"/>
        <w:jc w:val="left"/>
      </w:pPr>
      <w:r>
        <w:rPr>
          <w:rFonts w:hint="default" w:ascii="瀹嬩綋" w:hAnsi="瀹嬩綋" w:eastAsia="瀹嬩綋" w:cs="瀹嬩綋"/>
          <w:color w:val="000000"/>
          <w:kern w:val="0"/>
          <w:sz w:val="24"/>
          <w:szCs w:val="24"/>
          <w:lang w:val="en-US" w:eastAsia="zh-CN" w:bidi="ar"/>
        </w:rPr>
        <w:t xml:space="preserve">施、乡村旅游设施等建设项目用地。 </w:t>
      </w:r>
    </w:p>
    <w:p>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1</w:t>
      </w:r>
      <w:r>
        <w:rPr>
          <w:rFonts w:hint="default" w:ascii="瀹嬩綋" w:hAnsi="瀹嬩綋" w:eastAsia="瀹嬩綋" w:cs="瀹嬩綋"/>
          <w:color w:val="000000"/>
          <w:kern w:val="0"/>
          <w:sz w:val="24"/>
          <w:szCs w:val="24"/>
          <w:lang w:val="en-US" w:eastAsia="zh-CN" w:bidi="ar"/>
        </w:rPr>
        <w:t xml:space="preserve">）在建设用地总量不突破、不占用永久基本农田和生态保护红线的前提下，可将村庄规划 </w:t>
      </w:r>
    </w:p>
    <w:p>
      <w:pPr>
        <w:keepNext w:val="0"/>
        <w:keepLines w:val="0"/>
        <w:widowControl/>
        <w:suppressLineNumbers w:val="0"/>
        <w:ind w:left="0" w:leftChars="0" w:firstLine="0" w:firstLineChars="0"/>
        <w:jc w:val="left"/>
      </w:pPr>
      <w:r>
        <w:rPr>
          <w:rFonts w:hint="default" w:ascii="瀹嬩綋" w:hAnsi="瀹嬩綋" w:eastAsia="瀹嬩綋" w:cs="瀹嬩綋"/>
          <w:color w:val="000000"/>
          <w:kern w:val="0"/>
          <w:sz w:val="24"/>
          <w:szCs w:val="24"/>
          <w:lang w:val="en-US" w:eastAsia="zh-CN" w:bidi="ar"/>
        </w:rPr>
        <w:t xml:space="preserve">中预留的 </w:t>
      </w:r>
      <w:r>
        <w:rPr>
          <w:rFonts w:hint="default" w:ascii="Times New Roman" w:hAnsi="Times New Roman" w:eastAsia="宋体" w:cs="Times New Roman"/>
          <w:color w:val="000000"/>
          <w:kern w:val="0"/>
          <w:sz w:val="24"/>
          <w:szCs w:val="24"/>
          <w:lang w:val="en-US" w:eastAsia="zh-CN" w:bidi="ar"/>
        </w:rPr>
        <w:t>5%</w:t>
      </w:r>
      <w:r>
        <w:rPr>
          <w:rFonts w:hint="default" w:ascii="瀹嬩綋" w:hAnsi="瀹嬩綋" w:eastAsia="瀹嬩綋" w:cs="瀹嬩綋"/>
          <w:color w:val="000000"/>
          <w:kern w:val="0"/>
          <w:sz w:val="24"/>
          <w:szCs w:val="24"/>
          <w:lang w:val="en-US" w:eastAsia="zh-CN" w:bidi="ar"/>
        </w:rPr>
        <w:t xml:space="preserve">机动指标用于零星建设项目用地。 </w:t>
      </w:r>
    </w:p>
    <w:p>
      <w:pPr>
        <w:keepNext w:val="0"/>
        <w:keepLines w:val="0"/>
        <w:widowControl/>
        <w:numPr>
          <w:ilvl w:val="0"/>
          <w:numId w:val="3"/>
        </w:numPr>
        <w:suppressLineNumbers w:val="0"/>
        <w:jc w:val="left"/>
        <w:rPr>
          <w:rFonts w:hint="default" w:ascii="瀹嬩綋" w:hAnsi="瀹嬩綋" w:eastAsia="瀹嬩綋" w:cs="瀹嬩綋"/>
          <w:color w:val="000000"/>
          <w:kern w:val="0"/>
          <w:sz w:val="24"/>
          <w:szCs w:val="24"/>
          <w:lang w:val="en-US" w:eastAsia="zh-CN" w:bidi="ar"/>
        </w:rPr>
      </w:pPr>
      <w:r>
        <w:rPr>
          <w:rFonts w:hint="default" w:ascii="瀹嬩綋" w:hAnsi="瀹嬩綋" w:eastAsia="瀹嬩綋" w:cs="瀹嬩綋"/>
          <w:color w:val="000000"/>
          <w:kern w:val="0"/>
          <w:sz w:val="24"/>
          <w:szCs w:val="24"/>
          <w:lang w:val="en-US" w:eastAsia="zh-CN" w:bidi="ar"/>
        </w:rPr>
        <w:t>项目准入采取清单式管理，应符合国家与省市政策要求，同时符合县市负面清单管制要</w:t>
      </w:r>
    </w:p>
    <w:p>
      <w:pPr>
        <w:keepNext w:val="0"/>
        <w:keepLines w:val="0"/>
        <w:widowControl/>
        <w:numPr>
          <w:ilvl w:val="0"/>
          <w:numId w:val="0"/>
        </w:numPr>
        <w:suppressLineNumbers w:val="0"/>
        <w:jc w:val="left"/>
        <w:rPr>
          <w:rFonts w:hint="default" w:ascii="瀹嬩綋" w:hAnsi="瀹嬩綋" w:eastAsia="瀹嬩綋" w:cs="瀹嬩綋"/>
          <w:color w:val="000000"/>
          <w:kern w:val="0"/>
          <w:sz w:val="24"/>
          <w:szCs w:val="24"/>
          <w:lang w:val="en-US" w:eastAsia="zh-CN" w:bidi="ar"/>
        </w:rPr>
      </w:pPr>
      <w:r>
        <w:rPr>
          <w:rFonts w:hint="default" w:ascii="瀹嬩綋" w:hAnsi="瀹嬩綋" w:eastAsia="瀹嬩綋" w:cs="瀹嬩綋"/>
          <w:color w:val="000000"/>
          <w:kern w:val="0"/>
          <w:sz w:val="24"/>
          <w:szCs w:val="24"/>
          <w:lang w:val="en-US" w:eastAsia="zh-CN" w:bidi="ar"/>
        </w:rPr>
        <w:t xml:space="preserve">求。优先保障村庄发展重点项目用地需求。 </w:t>
      </w:r>
    </w:p>
    <w:p>
      <w:pPr>
        <w:keepNext w:val="0"/>
        <w:keepLines w:val="0"/>
        <w:widowControl/>
        <w:numPr>
          <w:ilvl w:val="0"/>
          <w:numId w:val="3"/>
        </w:numPr>
        <w:suppressLineNumbers w:val="0"/>
        <w:jc w:val="left"/>
      </w:pPr>
      <w:r>
        <w:rPr>
          <w:rFonts w:hint="default" w:ascii="瀹嬩綋" w:hAnsi="瀹嬩綋" w:eastAsia="瀹嬩綋" w:cs="瀹嬩綋"/>
          <w:color w:val="000000"/>
          <w:kern w:val="0"/>
          <w:sz w:val="24"/>
          <w:szCs w:val="24"/>
          <w:lang w:val="en-US" w:eastAsia="zh-CN" w:bidi="ar"/>
        </w:rPr>
        <w:t>准入项目的建设用地，用地选址应符合一般生态、农业空间管制要求及相关部门管理政</w:t>
      </w:r>
    </w:p>
    <w:p>
      <w:pPr>
        <w:keepNext w:val="0"/>
        <w:keepLines w:val="0"/>
        <w:widowControl/>
        <w:numPr>
          <w:ilvl w:val="0"/>
          <w:numId w:val="0"/>
        </w:numPr>
        <w:suppressLineNumbers w:val="0"/>
        <w:jc w:val="left"/>
      </w:pPr>
      <w:r>
        <w:rPr>
          <w:rFonts w:hint="default" w:ascii="瀹嬩綋" w:hAnsi="瀹嬩綋" w:eastAsia="瀹嬩綋" w:cs="瀹嬩綋"/>
          <w:color w:val="000000"/>
          <w:kern w:val="0"/>
          <w:sz w:val="24"/>
          <w:szCs w:val="24"/>
          <w:lang w:val="en-US" w:eastAsia="zh-CN" w:bidi="ar"/>
        </w:rPr>
        <w:t xml:space="preserve">策与标准要求。 </w:t>
      </w:r>
      <w:bookmarkStart w:id="0" w:name="_GoBack"/>
      <w:bookmarkEnd w:id="0"/>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3</w:t>
      </w:r>
      <w:r>
        <w:rPr>
          <w:rFonts w:hint="default" w:ascii="瀹嬩綋" w:hAnsi="瀹嬩綋" w:eastAsia="瀹嬩綋" w:cs="瀹嬩綋"/>
          <w:color w:val="000000"/>
          <w:kern w:val="0"/>
          <w:sz w:val="24"/>
          <w:szCs w:val="24"/>
          <w:lang w:val="en-US" w:eastAsia="zh-CN" w:bidi="ar"/>
        </w:rPr>
        <w:t xml:space="preserve">、特殊用地 </w:t>
      </w:r>
    </w:p>
    <w:p>
      <w:pPr>
        <w:keepNext w:val="0"/>
        <w:keepLines w:val="0"/>
        <w:widowControl/>
        <w:suppressLineNumbers w:val="0"/>
        <w:jc w:val="left"/>
      </w:pPr>
      <w:r>
        <w:rPr>
          <w:rFonts w:hint="default" w:ascii="瀹嬩綋" w:hAnsi="瀹嬩綋" w:eastAsia="瀹嬩綋" w:cs="瀹嬩綋"/>
          <w:color w:val="000000"/>
          <w:kern w:val="0"/>
          <w:sz w:val="24"/>
          <w:szCs w:val="24"/>
          <w:lang w:val="en-US" w:eastAsia="zh-CN" w:bidi="ar"/>
        </w:rPr>
        <w:t xml:space="preserve">任何单位和个人未经批准，不得擅自兴建殡葬设施。具体参照《殡葬管理条例》、《福建省殡 </w:t>
      </w:r>
    </w:p>
    <w:p>
      <w:pPr>
        <w:keepNext w:val="0"/>
        <w:keepLines w:val="0"/>
        <w:widowControl/>
        <w:suppressLineNumbers w:val="0"/>
        <w:ind w:left="0" w:leftChars="0" w:firstLine="0" w:firstLineChars="0"/>
        <w:jc w:val="left"/>
      </w:pPr>
      <w:r>
        <w:rPr>
          <w:rFonts w:hint="default" w:ascii="瀹嬩綋" w:hAnsi="瀹嬩綋" w:eastAsia="瀹嬩綋" w:cs="瀹嬩綋"/>
          <w:color w:val="000000"/>
          <w:kern w:val="0"/>
          <w:sz w:val="24"/>
          <w:szCs w:val="24"/>
          <w:lang w:val="en-US" w:eastAsia="zh-CN" w:bidi="ar"/>
        </w:rPr>
        <w:t xml:space="preserve">葬管理办法》等相关要求执行。乡村公益性殡葬设施可采取集中性骨灰堂、集中性墓地公园，严格 </w:t>
      </w:r>
    </w:p>
    <w:p>
      <w:pPr>
        <w:keepNext w:val="0"/>
        <w:keepLines w:val="0"/>
        <w:widowControl/>
        <w:suppressLineNumbers w:val="0"/>
        <w:ind w:left="0" w:leftChars="0" w:firstLine="0" w:firstLineChars="0"/>
        <w:jc w:val="left"/>
        <w:rPr>
          <w:rFonts w:hint="default" w:ascii="瀹嬩綋" w:hAnsi="瀹嬩綋" w:eastAsia="瀹嬩綋" w:cs="瀹嬩綋"/>
          <w:color w:val="000000"/>
          <w:kern w:val="0"/>
          <w:sz w:val="24"/>
          <w:szCs w:val="24"/>
          <w:lang w:val="en-US" w:eastAsia="zh-CN" w:bidi="ar"/>
        </w:rPr>
      </w:pPr>
      <w:r>
        <w:rPr>
          <w:rFonts w:hint="default" w:ascii="瀹嬩綋" w:hAnsi="瀹嬩綋" w:eastAsia="瀹嬩綋" w:cs="瀹嬩綋"/>
          <w:color w:val="000000"/>
          <w:kern w:val="0"/>
          <w:sz w:val="24"/>
          <w:szCs w:val="24"/>
          <w:lang w:val="en-US" w:eastAsia="zh-CN" w:bidi="ar"/>
        </w:rPr>
        <w:t>限制公墓墓位占地面积、墓碑高度和使用期限，安葬骨灰的单人墓或者双人合葬墓硬化面积不得超</w:t>
      </w:r>
    </w:p>
    <w:p>
      <w:pPr>
        <w:keepNext w:val="0"/>
        <w:keepLines w:val="0"/>
        <w:widowControl/>
        <w:suppressLineNumbers w:val="0"/>
        <w:ind w:left="0" w:leftChars="0" w:firstLine="0" w:firstLineChars="0"/>
        <w:jc w:val="left"/>
        <w:rPr>
          <w:rFonts w:hint="default" w:ascii="瀹嬩綋" w:hAnsi="瀹嬩綋" w:eastAsia="瀹嬩綋" w:cs="瀹嬩綋"/>
          <w:color w:val="000000"/>
          <w:kern w:val="0"/>
          <w:sz w:val="24"/>
          <w:szCs w:val="24"/>
          <w:lang w:val="en-US" w:eastAsia="zh-CN" w:bidi="ar"/>
        </w:rPr>
      </w:pPr>
      <w:r>
        <w:rPr>
          <w:rFonts w:hint="default" w:ascii="瀹嬩綋" w:hAnsi="瀹嬩綋" w:eastAsia="瀹嬩綋" w:cs="瀹嬩綋"/>
          <w:color w:val="000000"/>
          <w:kern w:val="0"/>
          <w:sz w:val="24"/>
          <w:szCs w:val="24"/>
          <w:lang w:val="en-US" w:eastAsia="zh-CN" w:bidi="ar"/>
        </w:rPr>
        <w:t xml:space="preserve">过 </w:t>
      </w:r>
      <w:r>
        <w:rPr>
          <w:rFonts w:hint="default" w:ascii="Times New Roman" w:hAnsi="Times New Roman" w:eastAsia="宋体" w:cs="Times New Roman"/>
          <w:color w:val="000000"/>
          <w:kern w:val="0"/>
          <w:sz w:val="24"/>
          <w:szCs w:val="24"/>
          <w:lang w:val="en-US" w:eastAsia="zh-CN" w:bidi="ar"/>
        </w:rPr>
        <w:t xml:space="preserve">1 </w:t>
      </w:r>
      <w:r>
        <w:rPr>
          <w:rFonts w:hint="default" w:ascii="瀹嬩綋" w:hAnsi="瀹嬩綋" w:eastAsia="瀹嬩綋" w:cs="瀹嬩綋"/>
          <w:color w:val="000000"/>
          <w:kern w:val="0"/>
          <w:sz w:val="24"/>
          <w:szCs w:val="24"/>
          <w:lang w:val="en-US" w:eastAsia="zh-CN" w:bidi="ar"/>
        </w:rPr>
        <w:t xml:space="preserve">平方米，园地绿化面积占总面积不得低于 </w:t>
      </w:r>
      <w:r>
        <w:rPr>
          <w:rFonts w:hint="default" w:ascii="Times New Roman" w:hAnsi="Times New Roman" w:eastAsia="宋体" w:cs="Times New Roman"/>
          <w:color w:val="000000"/>
          <w:kern w:val="0"/>
          <w:sz w:val="24"/>
          <w:szCs w:val="24"/>
          <w:lang w:val="en-US" w:eastAsia="zh-CN" w:bidi="ar"/>
        </w:rPr>
        <w:t>35%</w:t>
      </w:r>
      <w:r>
        <w:rPr>
          <w:rFonts w:hint="default" w:ascii="瀹嬩綋" w:hAnsi="瀹嬩綋" w:eastAsia="瀹嬩綋" w:cs="瀹嬩綋"/>
          <w:color w:val="000000"/>
          <w:kern w:val="0"/>
          <w:sz w:val="24"/>
          <w:szCs w:val="24"/>
          <w:lang w:val="en-US" w:eastAsia="zh-CN" w:bidi="ar"/>
        </w:rPr>
        <w:t xml:space="preserve">，墓碑高度不得超过地面 </w:t>
      </w:r>
      <w:r>
        <w:rPr>
          <w:rFonts w:hint="default" w:ascii="Times New Roman" w:hAnsi="Times New Roman" w:eastAsia="宋体" w:cs="Times New Roman"/>
          <w:color w:val="000000"/>
          <w:kern w:val="0"/>
          <w:sz w:val="24"/>
          <w:szCs w:val="24"/>
          <w:lang w:val="en-US" w:eastAsia="zh-CN" w:bidi="ar"/>
        </w:rPr>
        <w:t xml:space="preserve">0.8 </w:t>
      </w:r>
      <w:r>
        <w:rPr>
          <w:rFonts w:hint="default" w:ascii="瀹嬩綋" w:hAnsi="瀹嬩綋" w:eastAsia="瀹嬩綋" w:cs="瀹嬩綋"/>
          <w:color w:val="000000"/>
          <w:kern w:val="0"/>
          <w:sz w:val="24"/>
          <w:szCs w:val="24"/>
          <w:lang w:val="en-US" w:eastAsia="zh-CN" w:bidi="ar"/>
        </w:rPr>
        <w:t>米。引导农村地</w:t>
      </w:r>
    </w:p>
    <w:p>
      <w:pPr>
        <w:keepNext w:val="0"/>
        <w:keepLines w:val="0"/>
        <w:widowControl/>
        <w:suppressLineNumbers w:val="0"/>
        <w:ind w:left="0" w:leftChars="0" w:firstLine="0" w:firstLineChars="0"/>
        <w:jc w:val="left"/>
      </w:pPr>
      <w:r>
        <w:rPr>
          <w:rFonts w:hint="default" w:ascii="瀹嬩綋" w:hAnsi="瀹嬩綋" w:eastAsia="瀹嬩綋" w:cs="瀹嬩綋"/>
          <w:color w:val="000000"/>
          <w:kern w:val="0"/>
          <w:sz w:val="24"/>
          <w:szCs w:val="24"/>
          <w:lang w:val="en-US" w:eastAsia="zh-CN" w:bidi="ar"/>
        </w:rPr>
        <w:t xml:space="preserve">区树立新的丧葬观念，提倡采取树葬、海葬等新生态方式。 </w:t>
      </w:r>
    </w:p>
    <w:p>
      <w:pPr>
        <w:keepNext w:val="0"/>
        <w:keepLines w:val="0"/>
        <w:widowControl/>
        <w:suppressLineNumbers w:val="0"/>
        <w:jc w:val="left"/>
        <w:rPr>
          <w:rFonts w:hint="default" w:ascii="瀹嬩綋" w:hAnsi="瀹嬩綋" w:eastAsia="瀹嬩綋" w:cs="瀹嬩綋"/>
          <w:color w:val="000000"/>
          <w:kern w:val="0"/>
          <w:sz w:val="24"/>
          <w:szCs w:val="24"/>
          <w:lang w:val="en-US" w:eastAsia="zh-CN" w:bidi="ar"/>
        </w:rPr>
        <w:sectPr>
          <w:type w:val="continuous"/>
          <w:pgSz w:w="23811" w:h="16838" w:orient="landscape"/>
          <w:pgMar w:top="1800" w:right="1440" w:bottom="1800" w:left="1440" w:header="851" w:footer="992" w:gutter="0"/>
          <w:cols w:space="425" w:num="1"/>
          <w:docGrid w:type="lines" w:linePitch="312" w:charSpace="0"/>
        </w:sectPr>
      </w:pPr>
      <w:r>
        <w:rPr>
          <w:rFonts w:hint="default" w:ascii="瀹嬩綋" w:hAnsi="瀹嬩綋" w:eastAsia="瀹嬩綋" w:cs="瀹嬩綋"/>
          <w:color w:val="000000"/>
          <w:kern w:val="0"/>
          <w:sz w:val="24"/>
          <w:szCs w:val="24"/>
          <w:lang w:val="en-US" w:eastAsia="zh-CN" w:bidi="ar"/>
        </w:rPr>
        <w:t>能源、军事等其他村庄特殊用地管控参照相关法律法规与标准规范要求执行。</w:t>
      </w:r>
    </w:p>
    <w:p>
      <w:pPr>
        <w:keepNext w:val="0"/>
        <w:keepLines w:val="0"/>
        <w:widowControl/>
        <w:suppressLineNumbers w:val="0"/>
        <w:jc w:val="left"/>
        <w:rPr>
          <w:rFonts w:hint="default" w:ascii="瀹嬩綋" w:hAnsi="瀹嬩綋" w:eastAsia="瀹嬩綋" w:cs="瀹嬩綋"/>
          <w:color w:val="000000"/>
          <w:kern w:val="0"/>
          <w:sz w:val="24"/>
          <w:szCs w:val="24"/>
          <w:lang w:val="en-US" w:eastAsia="zh-CN" w:bidi="ar"/>
        </w:rPr>
      </w:pPr>
    </w:p>
    <w:p>
      <w:pPr>
        <w:keepNext w:val="0"/>
        <w:keepLines w:val="0"/>
        <w:widowControl/>
        <w:suppressLineNumbers w:val="0"/>
        <w:jc w:val="left"/>
        <w:rPr>
          <w:rFonts w:ascii="瀹嬩綋" w:hAnsi="瀹嬩綋" w:eastAsia="瀹嬩綋" w:cs="瀹嬩綋"/>
          <w:b/>
          <w:bCs/>
          <w:color w:val="000000"/>
          <w:kern w:val="0"/>
          <w:sz w:val="32"/>
          <w:szCs w:val="32"/>
          <w:lang w:val="en-US" w:eastAsia="zh-CN" w:bidi="ar"/>
        </w:rPr>
        <w:sectPr>
          <w:type w:val="continuous"/>
          <w:pgSz w:w="23811" w:h="16838" w:orient="landscape"/>
          <w:pgMar w:top="1800" w:right="1440" w:bottom="1800" w:left="1440" w:header="851" w:footer="992" w:gutter="0"/>
          <w:cols w:equalWidth="0" w:num="2">
            <w:col w:w="10253" w:space="425"/>
            <w:col w:w="10253"/>
          </w:cols>
          <w:docGrid w:type="lines" w:linePitch="312" w:charSpace="0"/>
        </w:sectPr>
      </w:pPr>
    </w:p>
    <w:p>
      <w:pPr>
        <w:keepNext w:val="0"/>
        <w:keepLines w:val="0"/>
        <w:widowControl/>
        <w:suppressLineNumbers w:val="0"/>
        <w:ind w:left="0" w:leftChars="0" w:firstLine="0" w:firstLineChars="0"/>
        <w:jc w:val="left"/>
        <w:rPr>
          <w:rFonts w:hint="default" w:eastAsia="宋体" w:asciiTheme="minorHAnsi" w:hAnsiTheme="minorHAnsi" w:cstheme="minorBidi"/>
          <w:b/>
          <w:kern w:val="2"/>
          <w:sz w:val="32"/>
          <w:szCs w:val="22"/>
          <w:lang w:val="en-US" w:eastAsia="zh-CN" w:bidi="ar-SA"/>
        </w:rPr>
      </w:pPr>
    </w:p>
    <w:p>
      <w:pPr>
        <w:sectPr>
          <w:type w:val="continuous"/>
          <w:pgSz w:w="23811" w:h="16838" w:orient="landscape"/>
          <w:pgMar w:top="1800" w:right="1440" w:bottom="1800" w:left="1440" w:header="851" w:footer="992" w:gutter="0"/>
          <w:cols w:equalWidth="0" w:num="2">
            <w:col w:w="10253" w:space="425"/>
            <w:col w:w="10253"/>
          </w:cols>
          <w:docGrid w:type="lines" w:linePitch="312" w:charSpace="0"/>
        </w:sectPr>
      </w:pPr>
    </w:p>
    <w:p/>
    <w:sectPr>
      <w:type w:val="continuous"/>
      <w:pgSz w:w="23811" w:h="16838"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瀹嬩綋">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36" w:lineRule="auto"/>
        <w:ind w:firstLine="480"/>
      </w:pPr>
      <w:r>
        <w:separator/>
      </w:r>
    </w:p>
  </w:footnote>
  <w:footnote w:type="continuationSeparator" w:id="1">
    <w:p>
      <w:pPr>
        <w:spacing w:line="336"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83BA9D"/>
    <w:multiLevelType w:val="multilevel"/>
    <w:tmpl w:val="3583BA9D"/>
    <w:lvl w:ilvl="0" w:tentative="0">
      <w:start w:val="1"/>
      <w:numFmt w:val="chineseCounting"/>
      <w:pStyle w:val="2"/>
      <w:suff w:val="nothing"/>
      <w:lvlText w:val="第%1章　"/>
      <w:lvlJc w:val="left"/>
      <w:pPr>
        <w:tabs>
          <w:tab w:val="left" w:pos="0"/>
        </w:tabs>
        <w:ind w:left="0" w:firstLine="402"/>
      </w:pPr>
      <w:rPr>
        <w:rFonts w:hint="eastAsia"/>
      </w:rPr>
    </w:lvl>
    <w:lvl w:ilvl="1" w:tentative="0">
      <w:start w:val="1"/>
      <w:numFmt w:val="chineseCounting"/>
      <w:lvlRestart w:val="0"/>
      <w:suff w:val="nothing"/>
      <w:lvlText w:val="第%2条　"/>
      <w:lvlJc w:val="left"/>
      <w:pPr>
        <w:ind w:left="0" w:firstLine="402"/>
      </w:pPr>
      <w:rPr>
        <w:rFonts w:hint="eastAsia"/>
      </w:rPr>
    </w:lvl>
    <w:lvl w:ilvl="2" w:tentative="0">
      <w:start w:val="1"/>
      <w:numFmt w:val="chineseCounting"/>
      <w:suff w:val="nothing"/>
      <w:lvlText w:val="（%3）"/>
      <w:lvlJc w:val="left"/>
      <w:pPr>
        <w:ind w:left="0" w:firstLine="402"/>
      </w:pPr>
      <w:rPr>
        <w:rFonts w:hint="eastAsia"/>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1">
    <w:nsid w:val="35C97066"/>
    <w:multiLevelType w:val="singleLevel"/>
    <w:tmpl w:val="35C97066"/>
    <w:lvl w:ilvl="0" w:tentative="0">
      <w:start w:val="2"/>
      <w:numFmt w:val="decimal"/>
      <w:suff w:val="nothing"/>
      <w:lvlText w:val="（%1）"/>
      <w:lvlJc w:val="left"/>
    </w:lvl>
  </w:abstractNum>
  <w:abstractNum w:abstractNumId="2">
    <w:nsid w:val="7E0E5339"/>
    <w:multiLevelType w:val="singleLevel"/>
    <w:tmpl w:val="7E0E5339"/>
    <w:lvl w:ilvl="0" w:tentative="0">
      <w:start w:val="2"/>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C815FB"/>
    <w:rsid w:val="3BD928A2"/>
    <w:rsid w:val="50566E65"/>
    <w:rsid w:val="52C815FB"/>
    <w:rsid w:val="68A94E4C"/>
    <w:rsid w:val="698A5F46"/>
    <w:rsid w:val="6D873710"/>
    <w:rsid w:val="73F53E42"/>
    <w:rsid w:val="7E965C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line="336" w:lineRule="auto"/>
      <w:ind w:firstLine="200" w:firstLineChars="200"/>
      <w:jc w:val="both"/>
    </w:pPr>
    <w:rPr>
      <w:rFonts w:ascii="Times New Roman" w:hAnsi="Times New Roman" w:eastAsia="宋体" w:cstheme="minorBidi"/>
      <w:kern w:val="2"/>
      <w:sz w:val="24"/>
      <w:szCs w:val="22"/>
      <w:lang w:val="en-US" w:eastAsia="zh-CN" w:bidi="ar-SA"/>
    </w:rPr>
  </w:style>
  <w:style w:type="paragraph" w:styleId="2">
    <w:name w:val="heading 1"/>
    <w:basedOn w:val="1"/>
    <w:next w:val="1"/>
    <w:qFormat/>
    <w:uiPriority w:val="9"/>
    <w:pPr>
      <w:numPr>
        <w:ilvl w:val="0"/>
        <w:numId w:val="1"/>
      </w:numPr>
      <w:spacing w:before="100" w:beforeLines="100" w:after="100" w:afterLines="100" w:line="360" w:lineRule="auto"/>
      <w:ind w:firstLine="0" w:firstLineChars="0"/>
      <w:jc w:val="center"/>
      <w:outlineLvl w:val="0"/>
    </w:pPr>
    <w:rPr>
      <w:rFonts w:asciiTheme="minorHAnsi" w:hAnsiTheme="minorHAnsi"/>
      <w:b/>
      <w:sz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semiHidden/>
    <w:unhideWhenUsed/>
    <w:qFormat/>
    <w:uiPriority w:val="99"/>
    <w:pPr>
      <w:spacing w:beforeAutospacing="1" w:afterAutospacing="1"/>
      <w:jc w:val="left"/>
    </w:pPr>
    <w:rPr>
      <w:rFonts w:cs="Times New Roman"/>
      <w:kern w:val="0"/>
    </w:rPr>
  </w:style>
  <w:style w:type="paragraph" w:customStyle="1" w:styleId="6">
    <w:name w:val="表格"/>
    <w:basedOn w:val="1"/>
    <w:qFormat/>
    <w:uiPriority w:val="0"/>
    <w:pPr>
      <w:spacing w:line="240" w:lineRule="auto"/>
      <w:ind w:firstLine="0" w:firstLineChars="0"/>
      <w:jc w:val="center"/>
    </w:pPr>
    <w:rPr>
      <w:rFonts w:hint="eastAsia"/>
      <w:sz w:val="21"/>
    </w:rPr>
  </w:style>
  <w:style w:type="table" w:customStyle="1" w:styleId="7">
    <w:name w:val="无格式表格 11"/>
    <w:basedOn w:val="4"/>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2831</Words>
  <Characters>3418</Characters>
  <Lines>0</Lines>
  <Paragraphs>0</Paragraphs>
  <TotalTime>2</TotalTime>
  <ScaleCrop>false</ScaleCrop>
  <LinksUpToDate>false</LinksUpToDate>
  <CharactersWithSpaces>3597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2026-03-30T07:40:00Z</dcterms:created>
  <dc:creator>呵呵哒(๑• . •๑)</dc:creator>
  <cp:lastModifiedBy>Administrator</cp:lastModifiedBy>
  <dcterms:modified xsi:type="dcterms:W3CDTF">2026-10-19T01:03:26Z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CAC94930B39947D5A698ABFA4F36AA61_13</vt:lpwstr>
  </property>
  <property fmtid="{D5CDD505-2E9C-101B-9397-08002B2CF9AE}" pid="4" name="KSOTemplateDocerSaveRecord">
    <vt:lpwstr>eyJoZGlkIjoiNWIzZmQ1YWRiZGQ1NWU3NjdiYWE3MWYwYTUzMjZhZGMiLCJ1c2VySWQiOiIzOTk0NTU0NjIifQ==</vt:lpwstr>
  </property>
</Properties>
</file>