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6EE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32"/>
          <w:szCs w:val="40"/>
        </w:rPr>
      </w:pPr>
      <w:r>
        <w:rPr>
          <w:b/>
          <w:bCs/>
          <w:sz w:val="32"/>
          <w:szCs w:val="40"/>
        </w:rPr>
        <w:t>《安溪县湖头镇</w:t>
      </w:r>
      <w:r>
        <w:rPr>
          <w:rFonts w:hint="eastAsia"/>
          <w:b/>
          <w:bCs/>
          <w:sz w:val="32"/>
          <w:szCs w:val="40"/>
          <w:lang w:val="en-US" w:eastAsia="zh-CN"/>
        </w:rPr>
        <w:t>郭埔</w:t>
      </w:r>
      <w:r>
        <w:rPr>
          <w:rFonts w:hint="eastAsia"/>
          <w:b/>
          <w:bCs/>
          <w:sz w:val="32"/>
          <w:szCs w:val="40"/>
          <w:lang w:eastAsia="zh-CN"/>
        </w:rPr>
        <w:t>村</w:t>
      </w:r>
      <w:r>
        <w:rPr>
          <w:b/>
          <w:bCs/>
          <w:sz w:val="32"/>
          <w:szCs w:val="40"/>
        </w:rPr>
        <w:t>村庄规划</w:t>
      </w:r>
      <w:r>
        <w:rPr>
          <w:rFonts w:hint="eastAsia"/>
          <w:b/>
          <w:bCs/>
          <w:sz w:val="32"/>
          <w:szCs w:val="40"/>
          <w:lang w:val="en-US" w:eastAsia="zh-CN"/>
        </w:rPr>
        <w:t>修编</w:t>
      </w:r>
      <w:r>
        <w:rPr>
          <w:b/>
          <w:bCs/>
          <w:sz w:val="32"/>
          <w:szCs w:val="40"/>
        </w:rPr>
        <w:t>（</w:t>
      </w:r>
      <w:r>
        <w:rPr>
          <w:rFonts w:hint="eastAsia" w:ascii="宋体" w:hAnsi="宋体" w:eastAsia="宋体" w:cs="宋体"/>
          <w:b/>
          <w:bCs/>
          <w:sz w:val="32"/>
          <w:szCs w:val="40"/>
        </w:rPr>
        <w:t>202</w:t>
      </w:r>
      <w:r>
        <w:rPr>
          <w:rFonts w:hint="eastAsia" w:ascii="宋体" w:hAnsi="宋体" w:eastAsia="宋体" w:cs="宋体"/>
          <w:b/>
          <w:bCs/>
          <w:sz w:val="32"/>
          <w:szCs w:val="40"/>
          <w:lang w:val="en-US" w:eastAsia="zh-CN"/>
        </w:rPr>
        <w:t>6</w:t>
      </w:r>
      <w:r>
        <w:rPr>
          <w:rFonts w:hint="eastAsia" w:ascii="宋体" w:hAnsi="宋体" w:eastAsia="宋体" w:cs="宋体"/>
          <w:b/>
          <w:bCs/>
          <w:sz w:val="32"/>
          <w:szCs w:val="40"/>
        </w:rPr>
        <w:t>-2035</w:t>
      </w:r>
      <w:r>
        <w:rPr>
          <w:rFonts w:hint="eastAsia"/>
          <w:b/>
          <w:bCs/>
          <w:sz w:val="32"/>
          <w:szCs w:val="40"/>
        </w:rPr>
        <w:t>年</w:t>
      </w:r>
      <w:r>
        <w:rPr>
          <w:b/>
          <w:bCs/>
          <w:sz w:val="32"/>
          <w:szCs w:val="40"/>
        </w:rPr>
        <w:t>）》</w:t>
      </w:r>
    </w:p>
    <w:p w14:paraId="07D5A8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32"/>
          <w:szCs w:val="40"/>
        </w:rPr>
      </w:pPr>
      <w:r>
        <w:rPr>
          <w:b/>
          <w:bCs/>
          <w:sz w:val="32"/>
          <w:szCs w:val="40"/>
        </w:rPr>
        <w:t>规划成果公示</w:t>
      </w:r>
    </w:p>
    <w:p w14:paraId="651C5443">
      <w:pPr>
        <w:jc w:val="center"/>
        <w:rPr>
          <w:b/>
          <w:bCs/>
          <w:sz w:val="28"/>
          <w:szCs w:val="36"/>
        </w:rPr>
      </w:pPr>
    </w:p>
    <w:p w14:paraId="562720E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为贯彻落实党的二十大精神，全面实施乡村振兴战略，按照湖头镇党委、政府的工作部署，发挥村庄规划引领与管控作用，实现各项建设项目有据可依，加强村庄公共服务设施建设，改善村庄人居环境，优化国土空间开发保护格局的目标，安溪县湖头镇人民政府组织编制《安溪县湖头镇</w:t>
      </w:r>
      <w:r>
        <w:rPr>
          <w:rFonts w:hint="eastAsia" w:ascii="仿宋" w:hAnsi="仿宋" w:eastAsia="仿宋" w:cs="仿宋"/>
          <w:sz w:val="28"/>
          <w:szCs w:val="28"/>
          <w:lang w:val="en-US" w:eastAsia="zh-CN"/>
        </w:rPr>
        <w:t>郭埔</w:t>
      </w:r>
      <w:r>
        <w:rPr>
          <w:rFonts w:hint="eastAsia" w:ascii="仿宋" w:hAnsi="仿宋" w:eastAsia="仿宋" w:cs="仿宋"/>
          <w:sz w:val="28"/>
          <w:szCs w:val="28"/>
        </w:rPr>
        <w:t>村村庄规划修编(202</w:t>
      </w:r>
      <w:r>
        <w:rPr>
          <w:rFonts w:hint="eastAsia" w:ascii="仿宋" w:hAnsi="仿宋" w:eastAsia="仿宋" w:cs="仿宋"/>
          <w:sz w:val="28"/>
          <w:szCs w:val="28"/>
          <w:lang w:val="en-US" w:eastAsia="zh-CN"/>
        </w:rPr>
        <w:t>6</w:t>
      </w:r>
      <w:r>
        <w:rPr>
          <w:rFonts w:hint="eastAsia" w:ascii="仿宋" w:hAnsi="仿宋" w:eastAsia="仿宋" w:cs="仿宋"/>
          <w:sz w:val="28"/>
          <w:szCs w:val="28"/>
        </w:rPr>
        <w:t>-2035年)》。通过资料收集、实地勘察、分析梳理、征求意见、专家评审及村民代表会议等方式收集意见，经设计单位多轮修改后形成规划成果。依据《中华人民共和国城乡规划法》《村庄规划编制规程》(</w:t>
      </w:r>
      <w:r>
        <w:rPr>
          <w:rFonts w:ascii="仿宋" w:hAnsi="仿宋" w:eastAsia="仿宋" w:cs="仿宋"/>
          <w:sz w:val="28"/>
          <w:szCs w:val="28"/>
        </w:rPr>
        <w:t>DB35/T 2061—2022)</w:t>
      </w:r>
      <w:r>
        <w:rPr>
          <w:rFonts w:hint="eastAsia" w:ascii="仿宋" w:hAnsi="仿宋" w:eastAsia="仿宋" w:cs="仿宋"/>
          <w:sz w:val="28"/>
          <w:szCs w:val="28"/>
        </w:rPr>
        <w:t>等有关规定，现对该规划成果予以公示（公示期三十天），征求社会各界的意见和建议，社会各界可通过邮寄信件和发送电子邮件的方式于公示期内提出意见。</w:t>
      </w:r>
    </w:p>
    <w:p w14:paraId="414E869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ascii="仿宋" w:hAnsi="仿宋" w:eastAsia="仿宋" w:cs="仿宋"/>
          <w:b/>
          <w:bCs/>
          <w:sz w:val="28"/>
          <w:szCs w:val="28"/>
        </w:rPr>
      </w:pPr>
      <w:r>
        <w:rPr>
          <w:rFonts w:hint="eastAsia" w:ascii="仿宋" w:hAnsi="仿宋" w:eastAsia="仿宋" w:cs="仿宋"/>
          <w:b/>
          <w:bCs/>
          <w:sz w:val="28"/>
          <w:szCs w:val="28"/>
        </w:rPr>
        <w:t>一、规划范围</w:t>
      </w:r>
    </w:p>
    <w:p w14:paraId="173F4BE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本次规划范围为</w:t>
      </w:r>
      <w:r>
        <w:rPr>
          <w:rFonts w:hint="eastAsia" w:ascii="仿宋" w:hAnsi="仿宋" w:eastAsia="仿宋" w:cs="仿宋"/>
          <w:sz w:val="28"/>
          <w:szCs w:val="28"/>
          <w:lang w:val="en-US" w:eastAsia="zh-CN"/>
        </w:rPr>
        <w:t>郭埔</w:t>
      </w:r>
      <w:r>
        <w:rPr>
          <w:rFonts w:hint="eastAsia" w:ascii="仿宋" w:hAnsi="仿宋" w:eastAsia="仿宋" w:cs="仿宋"/>
          <w:sz w:val="28"/>
          <w:szCs w:val="28"/>
          <w:lang w:eastAsia="zh-CN"/>
        </w:rPr>
        <w:t>村</w:t>
      </w:r>
      <w:r>
        <w:rPr>
          <w:rFonts w:hint="eastAsia" w:ascii="仿宋" w:hAnsi="仿宋" w:eastAsia="仿宋" w:cs="仿宋"/>
          <w:sz w:val="28"/>
          <w:szCs w:val="28"/>
        </w:rPr>
        <w:t>全域，根据20</w:t>
      </w:r>
      <w:r>
        <w:rPr>
          <w:rFonts w:hint="eastAsia" w:ascii="仿宋" w:hAnsi="仿宋" w:eastAsia="仿宋" w:cs="仿宋"/>
          <w:sz w:val="28"/>
          <w:szCs w:val="28"/>
          <w:lang w:val="en-US" w:eastAsia="zh-CN"/>
        </w:rPr>
        <w:t>25</w:t>
      </w:r>
      <w:r>
        <w:rPr>
          <w:rFonts w:hint="eastAsia" w:ascii="仿宋" w:hAnsi="仿宋" w:eastAsia="仿宋" w:cs="仿宋"/>
          <w:sz w:val="28"/>
          <w:szCs w:val="28"/>
        </w:rPr>
        <w:t>年国土变更调查数据，村域总面积为845.54公顷，其中村庄建设用地面积为</w:t>
      </w:r>
      <w:r>
        <w:rPr>
          <w:rFonts w:hint="eastAsia" w:ascii="仿宋" w:hAnsi="仿宋" w:eastAsia="仿宋" w:cs="仿宋"/>
          <w:sz w:val="28"/>
          <w:szCs w:val="28"/>
          <w:lang w:val="en-US" w:eastAsia="zh-CN"/>
        </w:rPr>
        <w:t>58.04</w:t>
      </w:r>
      <w:r>
        <w:rPr>
          <w:rFonts w:hint="eastAsia" w:ascii="仿宋" w:hAnsi="仿宋" w:eastAsia="仿宋" w:cs="仿宋"/>
          <w:sz w:val="28"/>
          <w:szCs w:val="28"/>
        </w:rPr>
        <w:t>公顷。</w:t>
      </w:r>
    </w:p>
    <w:p w14:paraId="0712ACDD">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ascii="仿宋" w:hAnsi="仿宋" w:eastAsia="仿宋" w:cs="仿宋"/>
          <w:b/>
          <w:bCs/>
          <w:sz w:val="28"/>
          <w:szCs w:val="28"/>
        </w:rPr>
      </w:pPr>
      <w:r>
        <w:rPr>
          <w:rFonts w:hint="eastAsia" w:ascii="仿宋" w:hAnsi="仿宋" w:eastAsia="仿宋" w:cs="仿宋"/>
          <w:b/>
          <w:bCs/>
          <w:sz w:val="28"/>
          <w:szCs w:val="28"/>
        </w:rPr>
        <w:t>二、规划定位</w:t>
      </w:r>
    </w:p>
    <w:p w14:paraId="625E29B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规划将</w:t>
      </w:r>
      <w:r>
        <w:rPr>
          <w:rFonts w:hint="eastAsia" w:ascii="仿宋" w:hAnsi="仿宋" w:eastAsia="仿宋" w:cs="仿宋"/>
          <w:sz w:val="28"/>
          <w:szCs w:val="28"/>
          <w:lang w:val="en-US" w:eastAsia="zh-CN"/>
        </w:rPr>
        <w:t>郭埔</w:t>
      </w:r>
      <w:r>
        <w:rPr>
          <w:rFonts w:hint="eastAsia" w:ascii="仿宋" w:hAnsi="仿宋" w:eastAsia="仿宋" w:cs="仿宋"/>
          <w:sz w:val="28"/>
          <w:szCs w:val="28"/>
        </w:rPr>
        <w:t>村</w:t>
      </w:r>
      <w:r>
        <w:rPr>
          <w:rFonts w:hint="eastAsia" w:ascii="仿宋" w:hAnsi="仿宋" w:eastAsia="仿宋" w:cs="仿宋"/>
          <w:sz w:val="28"/>
          <w:szCs w:val="28"/>
          <w:lang w:val="en-US" w:eastAsia="zh-CN"/>
        </w:rPr>
        <w:t>村庄</w:t>
      </w:r>
      <w:r>
        <w:rPr>
          <w:rFonts w:hint="eastAsia" w:ascii="仿宋" w:hAnsi="仿宋" w:eastAsia="仿宋" w:cs="仿宋"/>
          <w:sz w:val="28"/>
          <w:szCs w:val="28"/>
        </w:rPr>
        <w:t>类型为</w:t>
      </w:r>
      <w:r>
        <w:rPr>
          <w:rFonts w:hint="eastAsia" w:ascii="仿宋" w:hAnsi="仿宋" w:eastAsia="仿宋" w:cs="仿宋"/>
          <w:sz w:val="28"/>
          <w:szCs w:val="28"/>
          <w:lang w:val="en-US" w:eastAsia="zh-CN"/>
        </w:rPr>
        <w:t>稳定改善</w:t>
      </w:r>
      <w:r>
        <w:rPr>
          <w:rFonts w:hint="eastAsia" w:ascii="仿宋" w:hAnsi="仿宋" w:eastAsia="仿宋" w:cs="仿宋"/>
          <w:sz w:val="28"/>
          <w:szCs w:val="28"/>
        </w:rPr>
        <w:t>村庄。</w:t>
      </w:r>
    </w:p>
    <w:p w14:paraId="6E52D14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郭埔村总体发展定位为“茶乡田园，食美郭埔”，将郭埔村特色产业、自然山水、田园风光等优势相结合，促进村庄一二三产融合，有序推进村庄改造提升，激活产业、提振人气、增添活力，打造“湖头美食+农业休闲+生态观光”的郭埔。</w:t>
      </w:r>
    </w:p>
    <w:p w14:paraId="2E2253C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ascii="仿宋" w:hAnsi="仿宋" w:eastAsia="仿宋" w:cs="仿宋"/>
          <w:b/>
          <w:bCs/>
          <w:sz w:val="28"/>
          <w:szCs w:val="28"/>
        </w:rPr>
      </w:pPr>
      <w:r>
        <w:rPr>
          <w:rFonts w:hint="eastAsia" w:ascii="仿宋" w:hAnsi="仿宋" w:eastAsia="仿宋" w:cs="仿宋"/>
          <w:b/>
          <w:bCs/>
          <w:sz w:val="28"/>
          <w:szCs w:val="28"/>
        </w:rPr>
        <w:t>三、产业布局规划</w:t>
      </w:r>
    </w:p>
    <w:p w14:paraId="60FC01D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突出郭埔村农业资源和生态资源优势，规划形成郭埔村产业发展“四大片区”，并策划美食体验、农业休闲、生态观光系列活动，推动郭埔村集聚提升。</w:t>
      </w:r>
    </w:p>
    <w:p w14:paraId="5B406A7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b w:val="0"/>
          <w:bCs w:val="0"/>
          <w:sz w:val="28"/>
          <w:szCs w:val="28"/>
        </w:rPr>
      </w:pPr>
      <w:r>
        <w:rPr>
          <w:rFonts w:hint="eastAsia" w:ascii="仿宋" w:hAnsi="仿宋" w:eastAsia="仿宋" w:cs="仿宋"/>
          <w:b/>
          <w:bCs/>
          <w:sz w:val="28"/>
          <w:szCs w:val="28"/>
        </w:rPr>
        <w:t>田园生活居住区：</w:t>
      </w:r>
      <w:r>
        <w:rPr>
          <w:rFonts w:hint="eastAsia" w:ascii="仿宋" w:hAnsi="仿宋" w:eastAsia="仿宋" w:cs="仿宋"/>
          <w:b w:val="0"/>
          <w:bCs w:val="0"/>
          <w:sz w:val="28"/>
          <w:szCs w:val="28"/>
        </w:rPr>
        <w:t>利用自家庭院、自己生产农产品及周围田园风光、自然景点，吸引游客前来吃、住、玩、游、娱、购等旅游活动。</w:t>
      </w:r>
    </w:p>
    <w:p w14:paraId="751FBCEA">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b w:val="0"/>
          <w:bCs w:val="0"/>
          <w:sz w:val="28"/>
          <w:szCs w:val="28"/>
        </w:rPr>
      </w:pPr>
      <w:r>
        <w:rPr>
          <w:rFonts w:hint="eastAsia" w:ascii="仿宋" w:hAnsi="仿宋" w:eastAsia="仿宋" w:cs="仿宋"/>
          <w:b/>
          <w:bCs/>
          <w:sz w:val="28"/>
          <w:szCs w:val="28"/>
        </w:rPr>
        <w:t>农业观光休闲区：</w:t>
      </w:r>
      <w:r>
        <w:rPr>
          <w:rFonts w:hint="eastAsia" w:ascii="仿宋" w:hAnsi="仿宋" w:eastAsia="仿宋" w:cs="仿宋"/>
          <w:b w:val="0"/>
          <w:bCs w:val="0"/>
          <w:sz w:val="28"/>
          <w:szCs w:val="28"/>
        </w:rPr>
        <w:t>以农村田园景观、农业生产活动和特色农产品为旅游吸引物，开发农业游、林果游等不同特色的主题旅游活动。</w:t>
      </w:r>
    </w:p>
    <w:p w14:paraId="118C5352">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b w:val="0"/>
          <w:bCs w:val="0"/>
          <w:sz w:val="28"/>
          <w:szCs w:val="28"/>
        </w:rPr>
      </w:pPr>
      <w:r>
        <w:rPr>
          <w:rFonts w:hint="eastAsia" w:ascii="仿宋" w:hAnsi="仿宋" w:eastAsia="仿宋" w:cs="仿宋"/>
          <w:b/>
          <w:bCs/>
          <w:sz w:val="28"/>
          <w:szCs w:val="28"/>
        </w:rPr>
        <w:t>茶田休闲观光区：</w:t>
      </w:r>
      <w:r>
        <w:rPr>
          <w:rFonts w:hint="eastAsia" w:ascii="仿宋" w:hAnsi="仿宋" w:eastAsia="仿宋" w:cs="仿宋"/>
          <w:b w:val="0"/>
          <w:bCs w:val="0"/>
          <w:sz w:val="28"/>
          <w:szCs w:val="28"/>
        </w:rPr>
        <w:t>集生产销售、休闲度假、观光体验等多种元素于一体。打造以“住茶山、观茶景、品茶饮，吃茶餐、购茶品”的综合型观光茶园。</w:t>
      </w:r>
    </w:p>
    <w:p w14:paraId="2313D33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b w:val="0"/>
          <w:bCs w:val="0"/>
          <w:sz w:val="28"/>
          <w:szCs w:val="28"/>
        </w:rPr>
      </w:pPr>
      <w:r>
        <w:rPr>
          <w:rFonts w:hint="eastAsia" w:ascii="仿宋" w:hAnsi="仿宋" w:eastAsia="仿宋" w:cs="仿宋"/>
          <w:b/>
          <w:bCs/>
          <w:sz w:val="28"/>
          <w:szCs w:val="28"/>
        </w:rPr>
        <w:t>森林生态休闲区：</w:t>
      </w:r>
      <w:r>
        <w:rPr>
          <w:rFonts w:hint="eastAsia" w:ascii="仿宋" w:hAnsi="仿宋" w:eastAsia="仿宋" w:cs="仿宋"/>
          <w:b w:val="0"/>
          <w:bCs w:val="0"/>
          <w:sz w:val="28"/>
          <w:szCs w:val="28"/>
        </w:rPr>
        <w:t>设立健康步道、户外拓展场地等，为游客提供身心舒缓的森林休闲体验，并结合大墘发展红色旅游项目。</w:t>
      </w:r>
    </w:p>
    <w:p w14:paraId="77B31979">
      <w:pPr>
        <w:ind w:firstLine="482" w:firstLineChars="200"/>
        <w:jc w:val="left"/>
        <w:rPr>
          <w:rFonts w:hint="eastAsia" w:asciiTheme="minorEastAsia" w:hAnsiTheme="minorEastAsia" w:eastAsiaTheme="minorEastAsia" w:cstheme="minorEastAsia"/>
          <w:b/>
          <w:bCs/>
          <w:sz w:val="24"/>
          <w:szCs w:val="24"/>
        </w:rPr>
      </w:pPr>
      <w:bookmarkStart w:id="0" w:name="_Hlk160438063"/>
    </w:p>
    <w:p w14:paraId="16896732">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rPr>
        <w:t>公示时间</w:t>
      </w:r>
      <w:r>
        <w:rPr>
          <w:rFonts w:hint="eastAsia" w:ascii="仿宋" w:hAnsi="仿宋" w:eastAsia="仿宋" w:cs="仿宋"/>
          <w:sz w:val="28"/>
          <w:szCs w:val="28"/>
          <w:highlight w:val="none"/>
        </w:rPr>
        <w:t>：202</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22</w:t>
      </w:r>
      <w:r>
        <w:rPr>
          <w:rFonts w:hint="eastAsia" w:ascii="仿宋" w:hAnsi="仿宋" w:eastAsia="仿宋" w:cs="仿宋"/>
          <w:sz w:val="28"/>
          <w:szCs w:val="28"/>
          <w:highlight w:val="none"/>
        </w:rPr>
        <w:t>日-</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21</w:t>
      </w:r>
      <w:r>
        <w:rPr>
          <w:rFonts w:hint="eastAsia" w:ascii="仿宋" w:hAnsi="仿宋" w:eastAsia="仿宋" w:cs="仿宋"/>
          <w:sz w:val="28"/>
          <w:szCs w:val="28"/>
          <w:highlight w:val="none"/>
        </w:rPr>
        <w:t>日</w:t>
      </w:r>
    </w:p>
    <w:p w14:paraId="37C1C1F9">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rPr>
        <w:t>公示地点</w:t>
      </w:r>
      <w:r>
        <w:rPr>
          <w:rFonts w:hint="eastAsia" w:ascii="仿宋" w:hAnsi="仿宋" w:eastAsia="仿宋" w:cs="仿宋"/>
          <w:sz w:val="28"/>
          <w:szCs w:val="28"/>
          <w:highlight w:val="none"/>
        </w:rPr>
        <w:t>：湖头镇党务政务公示栏、湖头镇</w:t>
      </w:r>
      <w:r>
        <w:rPr>
          <w:rFonts w:hint="eastAsia" w:ascii="仿宋" w:hAnsi="仿宋" w:eastAsia="仿宋" w:cs="仿宋"/>
          <w:sz w:val="28"/>
          <w:szCs w:val="28"/>
          <w:highlight w:val="none"/>
          <w:lang w:val="en-US" w:eastAsia="zh-CN"/>
        </w:rPr>
        <w:t>郭埔</w:t>
      </w:r>
      <w:r>
        <w:rPr>
          <w:rFonts w:hint="eastAsia" w:ascii="仿宋" w:hAnsi="仿宋" w:eastAsia="仿宋" w:cs="仿宋"/>
          <w:sz w:val="28"/>
          <w:szCs w:val="28"/>
          <w:highlight w:val="none"/>
          <w:lang w:eastAsia="zh-CN"/>
        </w:rPr>
        <w:t>村</w:t>
      </w:r>
      <w:r>
        <w:rPr>
          <w:rFonts w:hint="eastAsia" w:ascii="仿宋" w:hAnsi="仿宋" w:eastAsia="仿宋" w:cs="仿宋"/>
          <w:sz w:val="28"/>
          <w:szCs w:val="28"/>
          <w:highlight w:val="none"/>
        </w:rPr>
        <w:t>公示栏</w:t>
      </w:r>
    </w:p>
    <w:p w14:paraId="08B80BF9">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rPr>
        <w:t>联 系 人：</w:t>
      </w:r>
      <w:r>
        <w:rPr>
          <w:rFonts w:hint="eastAsia" w:ascii="仿宋" w:hAnsi="仿宋" w:eastAsia="仿宋" w:cs="仿宋"/>
          <w:sz w:val="28"/>
          <w:szCs w:val="28"/>
          <w:highlight w:val="none"/>
        </w:rPr>
        <w:t>易吉地</w:t>
      </w:r>
    </w:p>
    <w:p w14:paraId="6A062705">
      <w:pPr>
        <w:spacing w:line="480" w:lineRule="exact"/>
        <w:ind w:firstLine="562" w:firstLineChars="200"/>
        <w:jc w:val="left"/>
        <w:rPr>
          <w:rFonts w:hint="eastAsia" w:ascii="仿宋" w:hAnsi="仿宋" w:eastAsia="仿宋" w:cs="仿宋"/>
          <w:sz w:val="28"/>
          <w:szCs w:val="28"/>
          <w:highlight w:val="none"/>
        </w:rPr>
      </w:pPr>
      <w:r>
        <w:rPr>
          <w:rFonts w:hint="eastAsia" w:ascii="仿宋" w:hAnsi="仿宋" w:eastAsia="仿宋" w:cs="仿宋"/>
          <w:b/>
          <w:bCs/>
          <w:sz w:val="28"/>
          <w:szCs w:val="28"/>
          <w:highlight w:val="none"/>
        </w:rPr>
        <w:t xml:space="preserve">电 </w:t>
      </w:r>
      <w:r>
        <w:rPr>
          <w:rFonts w:ascii="仿宋" w:hAnsi="仿宋" w:eastAsia="仿宋" w:cs="仿宋"/>
          <w:b/>
          <w:bCs/>
          <w:sz w:val="28"/>
          <w:szCs w:val="28"/>
          <w:highlight w:val="none"/>
        </w:rPr>
        <w:t xml:space="preserve">   </w:t>
      </w:r>
      <w:r>
        <w:rPr>
          <w:rFonts w:hint="eastAsia" w:ascii="仿宋" w:hAnsi="仿宋" w:eastAsia="仿宋" w:cs="仿宋"/>
          <w:b/>
          <w:bCs/>
          <w:sz w:val="28"/>
          <w:szCs w:val="28"/>
          <w:highlight w:val="none"/>
        </w:rPr>
        <w:t>话</w:t>
      </w:r>
      <w:r>
        <w:rPr>
          <w:rFonts w:hint="eastAsia" w:ascii="仿宋" w:hAnsi="仿宋" w:eastAsia="仿宋" w:cs="仿宋"/>
          <w:sz w:val="28"/>
          <w:szCs w:val="28"/>
          <w:highlight w:val="none"/>
        </w:rPr>
        <w:t>：18059999733</w:t>
      </w:r>
    </w:p>
    <w:p w14:paraId="0E1FD4FA">
      <w:pPr>
        <w:spacing w:line="480" w:lineRule="exact"/>
        <w:ind w:firstLine="562" w:firstLineChars="200"/>
        <w:jc w:val="left"/>
        <w:rPr>
          <w:rFonts w:hint="eastAsia" w:ascii="仿宋" w:hAnsi="仿宋" w:eastAsia="仿宋" w:cs="仿宋"/>
          <w:sz w:val="28"/>
          <w:szCs w:val="28"/>
          <w:highlight w:val="none"/>
        </w:rPr>
      </w:pPr>
      <w:r>
        <w:rPr>
          <w:rFonts w:hint="eastAsia" w:ascii="仿宋" w:hAnsi="仿宋" w:eastAsia="仿宋" w:cs="仿宋"/>
          <w:b/>
          <w:bCs/>
          <w:sz w:val="28"/>
          <w:szCs w:val="28"/>
          <w:highlight w:val="none"/>
        </w:rPr>
        <w:t xml:space="preserve">传 </w:t>
      </w:r>
      <w:r>
        <w:rPr>
          <w:rFonts w:ascii="仿宋" w:hAnsi="仿宋" w:eastAsia="仿宋" w:cs="仿宋"/>
          <w:b/>
          <w:bCs/>
          <w:sz w:val="28"/>
          <w:szCs w:val="28"/>
          <w:highlight w:val="none"/>
        </w:rPr>
        <w:t xml:space="preserve">  </w:t>
      </w:r>
      <w:r>
        <w:rPr>
          <w:rFonts w:hint="eastAsia" w:ascii="仿宋" w:hAnsi="仿宋" w:eastAsia="仿宋" w:cs="仿宋"/>
          <w:b/>
          <w:bCs/>
          <w:sz w:val="28"/>
          <w:szCs w:val="28"/>
          <w:highlight w:val="none"/>
        </w:rPr>
        <w:t xml:space="preserve"> 真：</w:t>
      </w:r>
      <w:r>
        <w:rPr>
          <w:rFonts w:hint="eastAsia" w:ascii="仿宋" w:hAnsi="仿宋" w:eastAsia="仿宋" w:cs="仿宋"/>
          <w:sz w:val="28"/>
          <w:szCs w:val="28"/>
          <w:highlight w:val="none"/>
        </w:rPr>
        <w:t>23405533</w:t>
      </w:r>
    </w:p>
    <w:p w14:paraId="6ED2A192">
      <w:pPr>
        <w:spacing w:line="480" w:lineRule="exact"/>
        <w:ind w:firstLine="562" w:firstLineChars="200"/>
        <w:jc w:val="left"/>
        <w:rPr>
          <w:rFonts w:hint="eastAsia" w:ascii="仿宋" w:hAnsi="仿宋" w:eastAsia="仿宋" w:cs="仿宋"/>
          <w:sz w:val="28"/>
          <w:szCs w:val="28"/>
          <w:highlight w:val="none"/>
        </w:rPr>
      </w:pPr>
      <w:r>
        <w:rPr>
          <w:rFonts w:hint="eastAsia" w:ascii="仿宋" w:hAnsi="仿宋" w:eastAsia="仿宋" w:cs="仿宋"/>
          <w:b/>
          <w:bCs/>
          <w:sz w:val="28"/>
          <w:szCs w:val="28"/>
          <w:highlight w:val="none"/>
        </w:rPr>
        <w:t>电子邮箱</w:t>
      </w:r>
      <w:r>
        <w:rPr>
          <w:rFonts w:hint="eastAsia" w:ascii="仿宋" w:hAnsi="仿宋" w:eastAsia="仿宋" w:cs="仿宋"/>
          <w:sz w:val="28"/>
          <w:szCs w:val="28"/>
          <w:highlight w:val="none"/>
        </w:rPr>
        <w:t>：hu3401090@163.com</w:t>
      </w:r>
    </w:p>
    <w:p w14:paraId="7CD5E305">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sz w:val="28"/>
          <w:szCs w:val="28"/>
          <w:highlight w:val="none"/>
        </w:rPr>
        <w:t>通讯地址：</w:t>
      </w:r>
      <w:r>
        <w:rPr>
          <w:rFonts w:hint="eastAsia" w:ascii="仿宋" w:hAnsi="仿宋" w:eastAsia="仿宋" w:cs="仿宋"/>
          <w:sz w:val="28"/>
          <w:szCs w:val="28"/>
          <w:highlight w:val="none"/>
        </w:rPr>
        <w:t>安溪县湖头镇湖美路4</w:t>
      </w:r>
      <w:r>
        <w:rPr>
          <w:rFonts w:ascii="仿宋" w:hAnsi="仿宋" w:eastAsia="仿宋" w:cs="仿宋"/>
          <w:sz w:val="28"/>
          <w:szCs w:val="28"/>
          <w:highlight w:val="none"/>
        </w:rPr>
        <w:t>6</w:t>
      </w:r>
      <w:r>
        <w:rPr>
          <w:rFonts w:hint="eastAsia" w:ascii="仿宋" w:hAnsi="仿宋" w:eastAsia="仿宋" w:cs="仿宋"/>
          <w:sz w:val="28"/>
          <w:szCs w:val="28"/>
          <w:highlight w:val="none"/>
        </w:rPr>
        <w:t>号</w:t>
      </w:r>
    </w:p>
    <w:p w14:paraId="2EA364D5">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sz w:val="28"/>
          <w:szCs w:val="28"/>
          <w:highlight w:val="none"/>
        </w:rPr>
        <w:t xml:space="preserve">邮 </w:t>
      </w:r>
      <w:r>
        <w:rPr>
          <w:rFonts w:ascii="仿宋" w:hAnsi="仿宋" w:eastAsia="仿宋" w:cs="仿宋"/>
          <w:b/>
          <w:sz w:val="28"/>
          <w:szCs w:val="28"/>
          <w:highlight w:val="none"/>
        </w:rPr>
        <w:t xml:space="preserve">   </w:t>
      </w:r>
      <w:r>
        <w:rPr>
          <w:rFonts w:hint="eastAsia" w:ascii="仿宋" w:hAnsi="仿宋" w:eastAsia="仿宋" w:cs="仿宋"/>
          <w:b/>
          <w:sz w:val="28"/>
          <w:szCs w:val="28"/>
          <w:highlight w:val="none"/>
        </w:rPr>
        <w:t>编：</w:t>
      </w:r>
      <w:r>
        <w:rPr>
          <w:rFonts w:hint="eastAsia" w:ascii="仿宋" w:hAnsi="仿宋" w:eastAsia="仿宋" w:cs="仿宋"/>
          <w:sz w:val="28"/>
          <w:szCs w:val="28"/>
          <w:highlight w:val="none"/>
        </w:rPr>
        <w:t>3</w:t>
      </w:r>
      <w:r>
        <w:rPr>
          <w:rFonts w:ascii="仿宋" w:hAnsi="仿宋" w:eastAsia="仿宋" w:cs="仿宋"/>
          <w:sz w:val="28"/>
          <w:szCs w:val="28"/>
          <w:highlight w:val="none"/>
        </w:rPr>
        <w:t>62400</w:t>
      </w:r>
    </w:p>
    <w:bookmarkEnd w:id="0"/>
    <w:p w14:paraId="07472608">
      <w:pPr>
        <w:spacing w:line="48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rPr>
        <w:t>附件</w:t>
      </w:r>
      <w:r>
        <w:rPr>
          <w:rFonts w:hint="eastAsia" w:ascii="仿宋" w:hAnsi="仿宋" w:eastAsia="仿宋" w:cs="仿宋"/>
          <w:sz w:val="28"/>
          <w:szCs w:val="28"/>
          <w:highlight w:val="none"/>
        </w:rPr>
        <w:t>：1.村域综合</w:t>
      </w:r>
      <w:bookmarkStart w:id="1" w:name="_GoBack"/>
      <w:bookmarkEnd w:id="1"/>
      <w:r>
        <w:rPr>
          <w:rFonts w:hint="eastAsia" w:ascii="仿宋" w:hAnsi="仿宋" w:eastAsia="仿宋" w:cs="仿宋"/>
          <w:sz w:val="28"/>
          <w:szCs w:val="28"/>
          <w:highlight w:val="none"/>
        </w:rPr>
        <w:t>规划图</w:t>
      </w:r>
    </w:p>
    <w:p w14:paraId="2BF72F22">
      <w:pPr>
        <w:spacing w:line="48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2.农村居民点规划布局图</w:t>
      </w:r>
    </w:p>
    <w:p w14:paraId="076EDB17">
      <w:pPr>
        <w:spacing w:line="480" w:lineRule="exact"/>
        <w:ind w:firstLine="1400" w:firstLineChars="500"/>
        <w:jc w:val="left"/>
        <w:rPr>
          <w:rFonts w:ascii="仿宋" w:hAnsi="仿宋" w:eastAsia="仿宋" w:cs="仿宋"/>
          <w:sz w:val="28"/>
          <w:szCs w:val="28"/>
        </w:rPr>
      </w:pPr>
      <w:r>
        <w:rPr>
          <w:rFonts w:hint="eastAsia" w:ascii="仿宋" w:hAnsi="仿宋" w:eastAsia="仿宋" w:cs="仿宋"/>
          <w:sz w:val="28"/>
          <w:szCs w:val="28"/>
        </w:rPr>
        <w:t>3.农村居民点总平面图</w:t>
      </w:r>
    </w:p>
    <w:p w14:paraId="431BF503">
      <w:pPr>
        <w:spacing w:line="480" w:lineRule="exact"/>
        <w:ind w:firstLine="1400" w:firstLineChars="500"/>
        <w:jc w:val="left"/>
        <w:rPr>
          <w:rFonts w:ascii="仿宋" w:hAnsi="仿宋" w:eastAsia="仿宋" w:cs="仿宋"/>
          <w:sz w:val="28"/>
          <w:szCs w:val="28"/>
        </w:rPr>
      </w:pPr>
      <w:r>
        <w:rPr>
          <w:rFonts w:hint="eastAsia" w:ascii="仿宋" w:hAnsi="仿宋" w:eastAsia="仿宋" w:cs="仿宋"/>
          <w:sz w:val="28"/>
          <w:szCs w:val="28"/>
        </w:rPr>
        <w:t>4.规划指标表</w:t>
      </w:r>
    </w:p>
    <w:p w14:paraId="45349A02">
      <w:pPr>
        <w:spacing w:line="480" w:lineRule="exact"/>
        <w:ind w:firstLine="1400" w:firstLineChars="500"/>
        <w:jc w:val="left"/>
        <w:rPr>
          <w:rFonts w:ascii="仿宋" w:hAnsi="仿宋" w:eastAsia="仿宋" w:cs="仿宋"/>
          <w:sz w:val="28"/>
          <w:szCs w:val="28"/>
        </w:rPr>
      </w:pPr>
      <w:r>
        <w:rPr>
          <w:rFonts w:hint="eastAsia" w:ascii="仿宋" w:hAnsi="仿宋" w:eastAsia="仿宋" w:cs="仿宋"/>
          <w:sz w:val="28"/>
          <w:szCs w:val="28"/>
        </w:rPr>
        <w:t>5.村域国土空间功能结构调整表</w:t>
      </w:r>
    </w:p>
    <w:p w14:paraId="21A69027">
      <w:pPr>
        <w:spacing w:line="480" w:lineRule="exact"/>
        <w:ind w:firstLine="1400" w:firstLineChars="500"/>
        <w:jc w:val="left"/>
        <w:rPr>
          <w:rFonts w:hint="eastAsia" w:ascii="仿宋" w:hAnsi="仿宋" w:eastAsia="仿宋" w:cs="仿宋"/>
          <w:sz w:val="28"/>
          <w:szCs w:val="28"/>
        </w:rPr>
      </w:pPr>
      <w:r>
        <w:rPr>
          <w:rFonts w:hint="eastAsia" w:ascii="仿宋" w:hAnsi="仿宋" w:eastAsia="仿宋" w:cs="仿宋"/>
          <w:sz w:val="28"/>
          <w:szCs w:val="28"/>
        </w:rPr>
        <w:t>6.规划管控规则</w:t>
      </w:r>
    </w:p>
    <w:p w14:paraId="7D5E7364">
      <w:pPr>
        <w:spacing w:line="480" w:lineRule="exact"/>
        <w:ind w:firstLine="1400" w:firstLineChars="500"/>
        <w:jc w:val="left"/>
        <w:rPr>
          <w:rFonts w:hint="eastAsia" w:ascii="仿宋" w:hAnsi="仿宋" w:eastAsia="仿宋" w:cs="仿宋"/>
          <w:sz w:val="28"/>
          <w:szCs w:val="28"/>
        </w:rPr>
      </w:pPr>
    </w:p>
    <w:p w14:paraId="69FE5FF9">
      <w:pPr>
        <w:spacing w:line="560" w:lineRule="exact"/>
        <w:ind w:firstLine="560" w:firstLineChars="200"/>
        <w:jc w:val="right"/>
        <w:rPr>
          <w:rFonts w:ascii="仿宋" w:hAnsi="仿宋" w:eastAsia="仿宋" w:cs="仿宋"/>
          <w:sz w:val="28"/>
          <w:szCs w:val="28"/>
        </w:rPr>
      </w:pPr>
      <w:r>
        <w:rPr>
          <w:rFonts w:hint="eastAsia" w:ascii="仿宋" w:hAnsi="仿宋" w:eastAsia="仿宋" w:cs="仿宋"/>
          <w:sz w:val="28"/>
          <w:szCs w:val="28"/>
        </w:rPr>
        <w:t>湖头镇人民政府</w:t>
      </w:r>
    </w:p>
    <w:p w14:paraId="42281480">
      <w:pPr>
        <w:spacing w:line="560" w:lineRule="exact"/>
        <w:ind w:firstLine="560" w:firstLineChars="200"/>
        <w:jc w:val="right"/>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highlight w:val="none"/>
          <w:lang w:val="en-US" w:eastAsia="zh-CN"/>
        </w:rPr>
        <w:t>22</w:t>
      </w:r>
      <w:r>
        <w:rPr>
          <w:rFonts w:hint="eastAsia" w:ascii="仿宋" w:hAnsi="仿宋" w:eastAsia="仿宋" w:cs="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iOWE3MTc5NTBjNDU5ZDY3NDYwYzY2ZmRkZGIxYTAifQ=="/>
  </w:docVars>
  <w:rsids>
    <w:rsidRoot w:val="00172A27"/>
    <w:rsid w:val="00016038"/>
    <w:rsid w:val="00071E89"/>
    <w:rsid w:val="00086C69"/>
    <w:rsid w:val="000E3A31"/>
    <w:rsid w:val="000F1F83"/>
    <w:rsid w:val="00172A27"/>
    <w:rsid w:val="0018650A"/>
    <w:rsid w:val="00195A94"/>
    <w:rsid w:val="001B79E7"/>
    <w:rsid w:val="00271EBB"/>
    <w:rsid w:val="00296A1A"/>
    <w:rsid w:val="002A5603"/>
    <w:rsid w:val="002B4222"/>
    <w:rsid w:val="00383B44"/>
    <w:rsid w:val="003A6DAF"/>
    <w:rsid w:val="00445E75"/>
    <w:rsid w:val="004E2738"/>
    <w:rsid w:val="00605145"/>
    <w:rsid w:val="006129C2"/>
    <w:rsid w:val="00651C43"/>
    <w:rsid w:val="006960AB"/>
    <w:rsid w:val="006D0FC7"/>
    <w:rsid w:val="00796971"/>
    <w:rsid w:val="007F3783"/>
    <w:rsid w:val="00816BB1"/>
    <w:rsid w:val="00880C1A"/>
    <w:rsid w:val="00895F1B"/>
    <w:rsid w:val="008E0845"/>
    <w:rsid w:val="008E432D"/>
    <w:rsid w:val="008E6B6F"/>
    <w:rsid w:val="00953B25"/>
    <w:rsid w:val="00995ADB"/>
    <w:rsid w:val="009D1836"/>
    <w:rsid w:val="009D2C86"/>
    <w:rsid w:val="009F63E7"/>
    <w:rsid w:val="00A22393"/>
    <w:rsid w:val="00BA5EF7"/>
    <w:rsid w:val="00BC456B"/>
    <w:rsid w:val="00BD2B90"/>
    <w:rsid w:val="00BE1DCE"/>
    <w:rsid w:val="00C2061A"/>
    <w:rsid w:val="00C64AF9"/>
    <w:rsid w:val="00CD647B"/>
    <w:rsid w:val="00D643B0"/>
    <w:rsid w:val="00DA7049"/>
    <w:rsid w:val="00DD4212"/>
    <w:rsid w:val="00DF028D"/>
    <w:rsid w:val="00EB0EAB"/>
    <w:rsid w:val="00F336E4"/>
    <w:rsid w:val="00F72900"/>
    <w:rsid w:val="02520412"/>
    <w:rsid w:val="0AE06246"/>
    <w:rsid w:val="0DD55CD1"/>
    <w:rsid w:val="11C86B61"/>
    <w:rsid w:val="12825EB9"/>
    <w:rsid w:val="12AD497C"/>
    <w:rsid w:val="143037AB"/>
    <w:rsid w:val="15E13A0F"/>
    <w:rsid w:val="186050C8"/>
    <w:rsid w:val="1A736E54"/>
    <w:rsid w:val="1CFE5B1D"/>
    <w:rsid w:val="1DF67157"/>
    <w:rsid w:val="1EC91389"/>
    <w:rsid w:val="20BD14F0"/>
    <w:rsid w:val="20CB61B6"/>
    <w:rsid w:val="21411F91"/>
    <w:rsid w:val="2450386C"/>
    <w:rsid w:val="261B6360"/>
    <w:rsid w:val="28A75A99"/>
    <w:rsid w:val="2AA04A37"/>
    <w:rsid w:val="2FA773D6"/>
    <w:rsid w:val="34B85EA6"/>
    <w:rsid w:val="35D66BA3"/>
    <w:rsid w:val="3BE3200C"/>
    <w:rsid w:val="43FC3B0B"/>
    <w:rsid w:val="47BE156E"/>
    <w:rsid w:val="4A4E586D"/>
    <w:rsid w:val="5D152323"/>
    <w:rsid w:val="6733383C"/>
    <w:rsid w:val="6C0A6189"/>
    <w:rsid w:val="6C9E0FF0"/>
    <w:rsid w:val="6D7568DE"/>
    <w:rsid w:val="73B67941"/>
    <w:rsid w:val="74847F5C"/>
    <w:rsid w:val="76C01C1A"/>
    <w:rsid w:val="79564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adjustRightInd w:val="0"/>
      <w:snapToGrid w:val="0"/>
      <w:spacing w:before="50" w:beforeLines="50" w:after="50" w:afterLines="50"/>
      <w:outlineLvl w:val="0"/>
    </w:pPr>
    <w:rPr>
      <w:rFonts w:ascii="Times New Roman" w:hAnsi="Times New Roman" w:eastAsia="黑体" w:cs="Times New Roman"/>
      <w:kern w:val="44"/>
      <w:sz w:val="30"/>
    </w:rPr>
  </w:style>
  <w:style w:type="paragraph" w:styleId="3">
    <w:name w:val="heading 2"/>
    <w:basedOn w:val="1"/>
    <w:next w:val="1"/>
    <w:semiHidden/>
    <w:unhideWhenUsed/>
    <w:qFormat/>
    <w:uiPriority w:val="0"/>
    <w:pPr>
      <w:keepNext/>
      <w:keepLines/>
      <w:adjustRightInd w:val="0"/>
      <w:snapToGrid w:val="0"/>
      <w:spacing w:before="50" w:beforeLines="50" w:after="50" w:afterLines="50" w:line="420" w:lineRule="exact"/>
      <w:outlineLvl w:val="1"/>
    </w:pPr>
    <w:rPr>
      <w:rFonts w:ascii="Arial" w:hAnsi="Arial" w:eastAsia="黑体" w:cs="Times New Roman"/>
      <w:b/>
      <w:sz w:val="28"/>
    </w:rPr>
  </w:style>
  <w:style w:type="paragraph" w:styleId="4">
    <w:name w:val="heading 3"/>
    <w:basedOn w:val="1"/>
    <w:next w:val="1"/>
    <w:semiHidden/>
    <w:unhideWhenUsed/>
    <w:qFormat/>
    <w:uiPriority w:val="0"/>
    <w:pPr>
      <w:keepNext/>
      <w:keepLines/>
      <w:adjustRightInd w:val="0"/>
      <w:snapToGrid w:val="0"/>
      <w:spacing w:line="420" w:lineRule="exact"/>
      <w:outlineLvl w:val="2"/>
    </w:pPr>
    <w:rPr>
      <w:rFonts w:ascii="Calibri" w:hAnsi="Calibri" w:eastAsia="黑体" w:cs="Times New Roman"/>
      <w:sz w:val="2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标注"/>
    <w:basedOn w:val="1"/>
    <w:qFormat/>
    <w:uiPriority w:val="0"/>
    <w:pPr>
      <w:ind w:firstLine="420" w:firstLineChars="200"/>
    </w:pPr>
    <w:rPr>
      <w:rFonts w:hint="eastAsia" w:ascii="Calibri" w:hAnsi="Calibri" w:eastAsia="宋体" w:cs="Times New Roman"/>
      <w:color w:val="0000FF"/>
      <w:sz w:val="24"/>
    </w:rPr>
  </w:style>
  <w:style w:type="character" w:customStyle="1" w:styleId="10">
    <w:name w:val="页眉 字符"/>
    <w:basedOn w:val="8"/>
    <w:link w:val="6"/>
    <w:qFormat/>
    <w:uiPriority w:val="0"/>
    <w:rPr>
      <w:rFonts w:asciiTheme="minorHAnsi" w:hAnsiTheme="minorHAnsi" w:eastAsiaTheme="minorEastAsia" w:cstheme="minorBidi"/>
      <w:kern w:val="2"/>
      <w:sz w:val="18"/>
      <w:szCs w:val="18"/>
    </w:rPr>
  </w:style>
  <w:style w:type="character" w:customStyle="1" w:styleId="11">
    <w:name w:val="页脚 字符"/>
    <w:basedOn w:val="8"/>
    <w:link w:val="5"/>
    <w:qFormat/>
    <w:uiPriority w:val="0"/>
    <w:rPr>
      <w:rFonts w:asciiTheme="minorHAnsi" w:hAnsiTheme="minorHAnsi" w:eastAsiaTheme="minorEastAsia" w:cstheme="minorBidi"/>
      <w:kern w:val="2"/>
      <w:sz w:val="18"/>
      <w:szCs w:val="18"/>
    </w:rPr>
  </w:style>
  <w:style w:type="paragraph" w:customStyle="1" w:styleId="12">
    <w:name w:val="Default"/>
    <w:unhideWhenUsed/>
    <w:qFormat/>
    <w:uiPriority w:val="99"/>
    <w:pPr>
      <w:widowControl w:val="0"/>
      <w:autoSpaceDE w:val="0"/>
      <w:autoSpaceDN w:val="0"/>
      <w:adjustRightInd w:val="0"/>
    </w:pPr>
    <w:rPr>
      <w:rFonts w:ascii="微软雅黑" w:hAnsi="微软雅黑" w:eastAsia="微软雅黑" w:cs="Times New Roman"/>
      <w:color w:val="00000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974</Words>
  <Characters>1074</Characters>
  <Lines>7</Lines>
  <Paragraphs>2</Paragraphs>
  <TotalTime>9</TotalTime>
  <ScaleCrop>false</ScaleCrop>
  <LinksUpToDate>false</LinksUpToDate>
  <CharactersWithSpaces>1095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2021-10-05T09:55:00Z</dcterms:created>
  <dc:creator>hp</dc:creator>
  <cp:lastModifiedBy>GxxCXL</cp:lastModifiedBy>
  <dcterms:modified xsi:type="dcterms:W3CDTF">2026-10-21T07:49:02Z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4D925CC8FB69416FB0C535BDF37C6705_13</vt:lpwstr>
  </property>
  <property fmtid="{D5CDD505-2E9C-101B-9397-08002B2CF9AE}" pid="4" name="KSOTemplateDocerSaveRecord">
    <vt:lpwstr>eyJoZGlkIjoiMTVlNjIzZjJlZWMwMzcyMDQ2ZjI1NGNmMThmZTIxMjIiLCJ1c2VySWQiOiIzNTc0NTkwMDEifQ==</vt:lpwstr>
  </property>
</Properties>
</file>