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F2E05">
      <w:pPr>
        <w:keepNext w:val="0"/>
        <w:keepLines w:val="0"/>
        <w:pageBreakBefore w:val="0"/>
        <w:widowControl/>
        <w:kinsoku/>
        <w:topLinePunct w:val="0"/>
        <w:autoSpaceDE/>
        <w:autoSpaceDN/>
        <w:bidi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蓝田镇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人民政府关于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安溪县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蓝田镇蓝一村</w:t>
      </w:r>
    </w:p>
    <w:p w14:paraId="3DE46C99">
      <w:pPr>
        <w:keepNext w:val="0"/>
        <w:keepLines w:val="0"/>
        <w:pageBreakBefore w:val="0"/>
        <w:widowControl/>
        <w:kinsoku/>
        <w:topLinePunct w:val="0"/>
        <w:autoSpaceDE/>
        <w:autoSpaceDN/>
        <w:bidi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村庄规划修编（202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-2035年）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的公示</w:t>
      </w:r>
    </w:p>
    <w:p w14:paraId="2DF27790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after="0" w:line="560" w:lineRule="exact"/>
        <w:ind w:firstLine="646"/>
        <w:jc w:val="both"/>
        <w:textAlignment w:val="auto"/>
        <w:rPr>
          <w:rFonts w:ascii="仿宋_GB2312" w:hAnsi="Calibri" w:eastAsia="仿宋_GB2312" w:cs="宋体"/>
          <w:spacing w:val="2"/>
          <w:sz w:val="32"/>
          <w:szCs w:val="32"/>
        </w:rPr>
      </w:pP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为了切实有效指导安溪县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eastAsia="zh-CN"/>
        </w:rPr>
        <w:t>蓝田镇蓝一村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的规划建设，我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>镇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委托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中弘设计集团有限公司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shd w:val="clear" w:color="auto" w:fill="FFFFFF"/>
        </w:rPr>
        <w:t>开展</w:t>
      </w:r>
      <w:r>
        <w:rPr>
          <w:rFonts w:hint="eastAsia" w:ascii="仿宋_GB2312" w:eastAsia="仿宋_GB2312"/>
          <w:sz w:val="32"/>
          <w:szCs w:val="32"/>
        </w:rPr>
        <w:t>《安溪县</w:t>
      </w:r>
      <w:r>
        <w:rPr>
          <w:rFonts w:hint="eastAsia" w:ascii="仿宋_GB2312" w:eastAsia="仿宋_GB2312"/>
          <w:sz w:val="32"/>
          <w:szCs w:val="32"/>
          <w:lang w:eastAsia="zh-CN"/>
        </w:rPr>
        <w:t>蓝田镇蓝一村</w:t>
      </w:r>
      <w:r>
        <w:rPr>
          <w:rFonts w:hint="eastAsia" w:ascii="仿宋_GB2312" w:eastAsia="仿宋_GB2312"/>
          <w:sz w:val="32"/>
          <w:szCs w:val="32"/>
        </w:rPr>
        <w:t>村庄规划修编（202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-2035年）》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的方案编制工作。经设计单位实地勘查、资料收集、分析梳理、征求意见及多轮修改后形成规划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>修编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方案，对村庄的用地性质、道路交通、配套设施、景观风貌等提出了具体指导，并于</w:t>
      </w:r>
      <w:r>
        <w:rPr>
          <w:rFonts w:hint="eastAsia" w:ascii="仿宋_GB2312" w:hAnsi="Calibri" w:eastAsia="仿宋_GB2312" w:cs="宋体"/>
          <w:spacing w:val="2"/>
          <w:sz w:val="32"/>
          <w:szCs w:val="32"/>
        </w:rPr>
        <w:t>202</w:t>
      </w:r>
      <w:r>
        <w:rPr>
          <w:rFonts w:hint="eastAsia" w:ascii="仿宋_GB2312" w:hAnsi="Calibri" w:eastAsia="仿宋_GB2312" w:cs="宋体"/>
          <w:spacing w:val="2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年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>10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月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>14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日通过县自然资源局组织的专家技术评审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日通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过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蓝一村</w:t>
      </w:r>
      <w:r>
        <w:rPr>
          <w:rFonts w:hint="eastAsia" w:ascii="仿宋_GB2312" w:hAnsi="宋体" w:eastAsia="仿宋_GB2312"/>
          <w:sz w:val="32"/>
          <w:szCs w:val="32"/>
        </w:rPr>
        <w:t>村民代表会议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及村民委员会</w:t>
      </w:r>
      <w:r>
        <w:rPr>
          <w:rFonts w:hint="eastAsia" w:ascii="仿宋_GB2312" w:hAnsi="宋体" w:eastAsia="仿宋_GB2312"/>
          <w:sz w:val="32"/>
          <w:szCs w:val="32"/>
        </w:rPr>
        <w:t>审议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shd w:val="clear" w:color="auto" w:fill="FFFFFF"/>
        </w:rPr>
        <w:t>。为提高规划编制的民主性和科学性，根据《中华人民共和国城乡规划法》、《福建省实施</w:t>
      </w:r>
      <w:r>
        <w:rPr>
          <w:rFonts w:hint="eastAsia" w:ascii="仿宋_GB2312" w:hAnsi="Calibri" w:eastAsia="仿宋_GB2312" w:cs="宋体"/>
          <w:spacing w:val="2"/>
          <w:sz w:val="32"/>
          <w:szCs w:val="32"/>
          <w:shd w:val="clear" w:color="auto" w:fill="FFFFFF"/>
        </w:rPr>
        <w:t>&lt;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shd w:val="clear" w:color="auto" w:fill="FFFFFF"/>
        </w:rPr>
        <w:t>中华人民共和国城乡规划法</w:t>
      </w:r>
      <w:r>
        <w:rPr>
          <w:rFonts w:hint="eastAsia" w:ascii="仿宋_GB2312" w:hAnsi="Calibri" w:eastAsia="仿宋_GB2312" w:cs="宋体"/>
          <w:spacing w:val="2"/>
          <w:sz w:val="32"/>
          <w:szCs w:val="32"/>
          <w:shd w:val="clear" w:color="auto" w:fill="FFFFFF"/>
        </w:rPr>
        <w:t>&gt;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shd w:val="clear" w:color="auto" w:fill="FFFFFF"/>
        </w:rPr>
        <w:t>办法》等有关规定，现对该规划成果进行公示（公示期三十天），向社会公众征求意见和建议。</w:t>
      </w:r>
    </w:p>
    <w:p w14:paraId="7DD916C0">
      <w:pPr>
        <w:shd w:val="clear" w:color="auto" w:fill="FFFFFF"/>
        <w:wordWrap w:val="0"/>
        <w:overflowPunct w:val="0"/>
        <w:adjustRightInd/>
        <w:snapToGrid/>
        <w:spacing w:after="0" w:line="560" w:lineRule="exact"/>
        <w:ind w:firstLine="648"/>
        <w:jc w:val="both"/>
        <w:rPr>
          <w:rFonts w:ascii="仿宋_GB2312" w:hAnsi="Calibri" w:eastAsia="仿宋_GB2312" w:cs="宋体"/>
          <w:spacing w:val="2"/>
          <w:sz w:val="32"/>
          <w:szCs w:val="32"/>
        </w:rPr>
      </w:pP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一、公示时间：</w:t>
      </w:r>
      <w:r>
        <w:rPr>
          <w:rFonts w:hint="eastAsia" w:ascii="仿宋_GB2312" w:hAnsi="Calibri" w:eastAsia="仿宋_GB2312" w:cs="宋体"/>
          <w:spacing w:val="2"/>
          <w:sz w:val="32"/>
          <w:szCs w:val="32"/>
        </w:rPr>
        <w:t>202</w:t>
      </w:r>
      <w:r>
        <w:rPr>
          <w:rFonts w:hint="eastAsia" w:ascii="仿宋_GB2312" w:hAnsi="Calibri" w:eastAsia="仿宋_GB2312" w:cs="宋体"/>
          <w:spacing w:val="2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年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>10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月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>19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日至</w:t>
      </w:r>
      <w:r>
        <w:rPr>
          <w:rFonts w:hint="eastAsia" w:ascii="仿宋_GB2312" w:hAnsi="Calibri" w:eastAsia="仿宋_GB2312" w:cs="宋体"/>
          <w:spacing w:val="2"/>
          <w:sz w:val="32"/>
          <w:szCs w:val="32"/>
        </w:rPr>
        <w:t>202</w:t>
      </w:r>
      <w:r>
        <w:rPr>
          <w:rFonts w:hint="eastAsia" w:ascii="仿宋_GB2312" w:hAnsi="Calibri" w:eastAsia="仿宋_GB2312" w:cs="宋体"/>
          <w:spacing w:val="2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年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>11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月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>19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日</w:t>
      </w:r>
    </w:p>
    <w:p w14:paraId="36F416D1">
      <w:pPr>
        <w:shd w:val="clear" w:color="auto" w:fill="FFFFFF"/>
        <w:wordWrap w:val="0"/>
        <w:overflowPunct w:val="0"/>
        <w:adjustRightInd/>
        <w:snapToGrid/>
        <w:spacing w:after="0" w:line="560" w:lineRule="exact"/>
        <w:ind w:firstLine="648"/>
        <w:jc w:val="both"/>
        <w:rPr>
          <w:rFonts w:ascii="仿宋_GB2312" w:hAnsi="Calibri" w:eastAsia="仿宋_GB2312" w:cs="宋体"/>
          <w:spacing w:val="2"/>
          <w:sz w:val="32"/>
          <w:szCs w:val="32"/>
        </w:rPr>
      </w:pP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二、公示地点：</w:t>
      </w:r>
      <w:r>
        <w:rPr>
          <w:rFonts w:hint="eastAsia" w:ascii="仿宋_GB2312" w:eastAsia="仿宋_GB2312"/>
          <w:sz w:val="32"/>
          <w:szCs w:val="32"/>
          <w:lang w:eastAsia="zh-CN"/>
        </w:rPr>
        <w:t>蓝田镇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党务政务公示栏</w:t>
      </w:r>
    </w:p>
    <w:p w14:paraId="3F24434E">
      <w:pPr>
        <w:shd w:val="clear" w:color="auto" w:fill="FFFFFF"/>
        <w:wordWrap w:val="0"/>
        <w:overflowPunct w:val="0"/>
        <w:adjustRightInd/>
        <w:snapToGrid/>
        <w:spacing w:after="0" w:line="560" w:lineRule="exact"/>
        <w:ind w:firstLine="648"/>
        <w:jc w:val="both"/>
        <w:rPr>
          <w:rFonts w:ascii="仿宋_GB2312" w:hAnsi="Calibri" w:eastAsia="仿宋_GB2312" w:cs="宋体"/>
          <w:spacing w:val="2"/>
          <w:sz w:val="32"/>
          <w:szCs w:val="32"/>
        </w:rPr>
      </w:pPr>
      <w:r>
        <w:rPr>
          <w:rFonts w:hint="eastAsia" w:ascii="仿宋_GB2312" w:hAnsi="Calibri" w:eastAsia="仿宋_GB2312" w:cs="宋体"/>
          <w:spacing w:val="2"/>
          <w:sz w:val="32"/>
          <w:szCs w:val="32"/>
        </w:rPr>
        <w:t xml:space="preserve">                   </w:t>
      </w:r>
      <w:r>
        <w:rPr>
          <w:rFonts w:hint="eastAsia" w:ascii="仿宋_GB2312" w:hAnsi="Calibri" w:eastAsia="仿宋_GB2312" w:cs="宋体"/>
          <w:spacing w:val="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lang w:eastAsia="zh-CN"/>
        </w:rPr>
        <w:t>蓝田镇蓝一村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村务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公示栏</w:t>
      </w:r>
    </w:p>
    <w:p w14:paraId="02553DD7">
      <w:pPr>
        <w:shd w:val="clear" w:color="auto" w:fill="FFFFFF"/>
        <w:wordWrap w:val="0"/>
        <w:overflowPunct w:val="0"/>
        <w:adjustRightInd/>
        <w:snapToGrid/>
        <w:spacing w:after="0" w:line="560" w:lineRule="exact"/>
        <w:ind w:firstLine="648" w:firstLineChars="200"/>
        <w:jc w:val="both"/>
        <w:rPr>
          <w:rFonts w:hint="eastAsia" w:ascii="仿宋_GB2312" w:hAnsi="微软雅黑" w:eastAsia="仿宋_GB2312" w:cs="宋体"/>
          <w:spacing w:val="2"/>
          <w:sz w:val="32"/>
          <w:szCs w:val="32"/>
        </w:rPr>
      </w:pP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公示网址：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fldChar w:fldCharType="begin"/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instrText xml:space="preserve"> HYPERLINK "http://www.fjax.gov.cn/" </w:instrTex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fldChar w:fldCharType="separate"/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http://www.fjax.gov.cn/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fldChar w:fldCharType="end"/>
      </w:r>
    </w:p>
    <w:p w14:paraId="73909AB2">
      <w:pPr>
        <w:shd w:val="clear" w:color="auto" w:fill="FFFFFF"/>
        <w:wordWrap w:val="0"/>
        <w:overflowPunct w:val="0"/>
        <w:adjustRightInd/>
        <w:snapToGrid/>
        <w:spacing w:after="0" w:line="560" w:lineRule="exact"/>
        <w:ind w:firstLine="648"/>
        <w:jc w:val="both"/>
        <w:rPr>
          <w:rFonts w:hint="eastAsia" w:ascii="仿宋_GB2312" w:hAnsi="微软雅黑" w:eastAsia="仿宋_GB2312" w:cs="宋体"/>
          <w:spacing w:val="2"/>
          <w:sz w:val="32"/>
          <w:szCs w:val="32"/>
        </w:rPr>
      </w:pP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联 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系 人：徐玉印    </w:t>
      </w:r>
    </w:p>
    <w:p w14:paraId="3A21AB38">
      <w:pPr>
        <w:shd w:val="clear" w:color="auto" w:fill="FFFFFF"/>
        <w:wordWrap w:val="0"/>
        <w:overflowPunct w:val="0"/>
        <w:adjustRightInd/>
        <w:snapToGrid/>
        <w:spacing w:after="0" w:line="560" w:lineRule="exact"/>
        <w:ind w:firstLine="648"/>
        <w:jc w:val="both"/>
        <w:rPr>
          <w:rFonts w:hint="default" w:ascii="仿宋_GB2312" w:hAnsi="微软雅黑" w:eastAsia="仿宋_GB2312" w:cs="宋体"/>
          <w:spacing w:val="2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>电      话：23133188</w:t>
      </w:r>
    </w:p>
    <w:p w14:paraId="25074299">
      <w:pPr>
        <w:shd w:val="clear" w:color="auto" w:fill="FFFFFF"/>
        <w:wordWrap w:val="0"/>
        <w:overflowPunct w:val="0"/>
        <w:adjustRightInd/>
        <w:snapToGrid/>
        <w:spacing w:after="0" w:line="560" w:lineRule="exact"/>
        <w:ind w:firstLine="648"/>
        <w:jc w:val="both"/>
        <w:rPr>
          <w:rFonts w:ascii="仿宋_GB2312" w:hAnsi="Calibri" w:eastAsia="仿宋_GB2312" w:cs="宋体"/>
          <w:spacing w:val="2"/>
          <w:sz w:val="32"/>
          <w:szCs w:val="32"/>
        </w:rPr>
      </w:pP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通信地址：安溪县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eastAsia="zh-CN"/>
        </w:rPr>
        <w:t>蓝田镇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>人民政府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，邮编：3624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>20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 xml:space="preserve">  </w:t>
      </w:r>
      <w:r>
        <w:rPr>
          <w:rFonts w:hint="eastAsia" w:ascii="仿宋_GB2312" w:hAnsi="Calibri" w:eastAsia="仿宋_GB2312" w:cs="宋体"/>
          <w:color w:val="0000FF"/>
          <w:spacing w:val="2"/>
          <w:sz w:val="32"/>
          <w:szCs w:val="32"/>
        </w:rPr>
        <w:t xml:space="preserve">  </w:t>
      </w:r>
      <w:r>
        <w:rPr>
          <w:rFonts w:hint="eastAsia" w:ascii="仿宋_GB2312" w:hAnsi="Calibri" w:eastAsia="仿宋_GB2312" w:cs="宋体"/>
          <w:spacing w:val="2"/>
          <w:sz w:val="32"/>
          <w:szCs w:val="32"/>
        </w:rPr>
        <w:t xml:space="preserve"> </w:t>
      </w:r>
    </w:p>
    <w:p w14:paraId="47DCF8A6">
      <w:pPr>
        <w:shd w:val="clear" w:color="auto" w:fill="FFFFFF"/>
        <w:wordWrap w:val="0"/>
        <w:overflowPunct w:val="0"/>
        <w:adjustRightInd/>
        <w:snapToGrid/>
        <w:spacing w:after="0" w:line="560" w:lineRule="exact"/>
        <w:ind w:firstLine="648"/>
        <w:jc w:val="both"/>
        <w:rPr>
          <w:rFonts w:ascii="仿宋_GB2312" w:hAnsi="Calibri" w:eastAsia="仿宋_GB2312" w:cs="宋体"/>
          <w:spacing w:val="2"/>
          <w:sz w:val="32"/>
          <w:szCs w:val="32"/>
        </w:rPr>
      </w:pP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社会各界群众及单位如对该规划提出意见和看法，请在公示期内以书面方式或电子邮件形式进行反馈，逾期视为同意，并将于规划公示</w:t>
      </w:r>
      <w:r>
        <w:rPr>
          <w:rFonts w:hint="eastAsia" w:ascii="仿宋_GB2312" w:hAnsi="Calibri" w:eastAsia="仿宋_GB2312" w:cs="宋体"/>
          <w:spacing w:val="2"/>
          <w:sz w:val="32"/>
          <w:szCs w:val="32"/>
        </w:rPr>
        <w:t>30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天后，依法履行相关规划审批手续。</w:t>
      </w:r>
    </w:p>
    <w:p w14:paraId="6E015BD5">
      <w:pPr>
        <w:shd w:val="clear" w:color="auto" w:fill="FFFFFF"/>
        <w:wordWrap w:val="0"/>
        <w:overflowPunct w:val="0"/>
        <w:adjustRightInd/>
        <w:snapToGrid/>
        <w:spacing w:after="0" w:line="560" w:lineRule="exact"/>
        <w:ind w:firstLine="648"/>
        <w:jc w:val="both"/>
        <w:rPr>
          <w:rFonts w:ascii="仿宋_GB2312" w:hAnsi="Calibri" w:eastAsia="仿宋_GB2312" w:cs="宋体"/>
          <w:spacing w:val="2"/>
          <w:sz w:val="32"/>
          <w:szCs w:val="32"/>
        </w:rPr>
      </w:pP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注：反馈意见应注明联系人的真实姓名、联系电话、联系地址，单位反馈意见应加盖公章。</w:t>
      </w:r>
    </w:p>
    <w:p w14:paraId="01AFF223">
      <w:pPr>
        <w:shd w:val="clear" w:color="auto" w:fill="FFFFFF"/>
        <w:wordWrap w:val="0"/>
        <w:overflowPunct w:val="0"/>
        <w:adjustRightInd/>
        <w:snapToGrid/>
        <w:spacing w:after="0" w:line="560" w:lineRule="exact"/>
        <w:ind w:firstLine="648"/>
        <w:jc w:val="both"/>
        <w:rPr>
          <w:rFonts w:ascii="仿宋_GB2312" w:hAnsi="Calibri" w:eastAsia="仿宋_GB2312" w:cs="宋体"/>
          <w:spacing w:val="2"/>
          <w:sz w:val="32"/>
          <w:szCs w:val="32"/>
        </w:rPr>
      </w:pPr>
      <w:r>
        <w:rPr>
          <w:rFonts w:hint="eastAsia" w:ascii="仿宋_GB2312" w:hAnsi="Calibri" w:eastAsia="仿宋_GB2312" w:cs="宋体"/>
          <w:spacing w:val="2"/>
          <w:sz w:val="32"/>
          <w:szCs w:val="32"/>
        </w:rPr>
        <w:t> </w:t>
      </w:r>
    </w:p>
    <w:p w14:paraId="1A2F0E97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after="0" w:line="560" w:lineRule="exact"/>
        <w:ind w:left="638" w:leftChars="290" w:firstLine="0" w:firstLineChars="0"/>
        <w:jc w:val="both"/>
        <w:textAlignment w:val="auto"/>
        <w:rPr>
          <w:rFonts w:hint="eastAsia" w:ascii="仿宋_GB2312" w:eastAsia="仿宋_GB2312"/>
          <w:spacing w:val="-34"/>
          <w:sz w:val="32"/>
          <w:szCs w:val="32"/>
        </w:rPr>
      </w:pP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附件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pacing w:val="-34"/>
          <w:sz w:val="32"/>
          <w:szCs w:val="32"/>
        </w:rPr>
        <w:t>《安溪县</w:t>
      </w:r>
      <w:r>
        <w:rPr>
          <w:rFonts w:hint="eastAsia" w:ascii="仿宋_GB2312" w:eastAsia="仿宋_GB2312"/>
          <w:spacing w:val="-34"/>
          <w:sz w:val="32"/>
          <w:szCs w:val="32"/>
          <w:lang w:eastAsia="zh-CN"/>
        </w:rPr>
        <w:t>蓝田镇蓝一村</w:t>
      </w:r>
      <w:r>
        <w:rPr>
          <w:rFonts w:hint="eastAsia" w:ascii="仿宋_GB2312" w:eastAsia="仿宋_GB2312"/>
          <w:spacing w:val="-34"/>
          <w:sz w:val="32"/>
          <w:szCs w:val="32"/>
        </w:rPr>
        <w:t>村庄规划</w:t>
      </w:r>
      <w:r>
        <w:rPr>
          <w:rFonts w:hint="eastAsia" w:ascii="仿宋_GB2312" w:eastAsia="仿宋_GB2312"/>
          <w:spacing w:val="-34"/>
          <w:sz w:val="32"/>
          <w:szCs w:val="32"/>
          <w:lang w:val="en-US" w:eastAsia="zh-CN"/>
        </w:rPr>
        <w:t>修编</w:t>
      </w:r>
      <w:r>
        <w:rPr>
          <w:rFonts w:hint="eastAsia" w:ascii="仿宋_GB2312" w:eastAsia="仿宋_GB2312"/>
          <w:spacing w:val="-34"/>
          <w:sz w:val="32"/>
          <w:szCs w:val="32"/>
        </w:rPr>
        <w:t>（202</w:t>
      </w:r>
      <w:r>
        <w:rPr>
          <w:rFonts w:hint="eastAsia" w:ascii="仿宋_GB2312" w:eastAsia="仿宋_GB2312"/>
          <w:spacing w:val="-34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pacing w:val="-34"/>
          <w:sz w:val="32"/>
          <w:szCs w:val="32"/>
        </w:rPr>
        <w:t>-2035年）》</w:t>
      </w:r>
    </w:p>
    <w:p w14:paraId="5FD747E7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after="0" w:line="560" w:lineRule="exact"/>
        <w:ind w:left="638" w:leftChars="290" w:firstLine="1280" w:firstLineChars="400"/>
        <w:jc w:val="both"/>
        <w:textAlignment w:val="auto"/>
        <w:rPr>
          <w:rFonts w:hint="default" w:ascii="仿宋_GB2312" w:hAnsi="Calibri" w:eastAsia="仿宋_GB2312" w:cs="宋体"/>
          <w:spacing w:val="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公示材料</w:t>
      </w:r>
    </w:p>
    <w:p w14:paraId="21F5ACB3">
      <w:pPr>
        <w:shd w:val="clear" w:color="auto" w:fill="FFFFFF"/>
        <w:wordWrap w:val="0"/>
        <w:overflowPunct w:val="0"/>
        <w:adjustRightInd/>
        <w:snapToGrid/>
        <w:spacing w:after="0" w:line="560" w:lineRule="exact"/>
        <w:ind w:firstLine="648"/>
        <w:jc w:val="both"/>
        <w:rPr>
          <w:rFonts w:hint="eastAsia" w:ascii="仿宋_GB2312" w:hAnsi="Calibri" w:eastAsia="仿宋_GB2312" w:cs="宋体"/>
          <w:spacing w:val="2"/>
          <w:sz w:val="32"/>
          <w:szCs w:val="32"/>
        </w:rPr>
      </w:pPr>
      <w:r>
        <w:rPr>
          <w:rFonts w:hint="eastAsia" w:ascii="仿宋_GB2312" w:hAnsi="Calibri" w:eastAsia="仿宋_GB2312" w:cs="宋体"/>
          <w:spacing w:val="2"/>
          <w:sz w:val="32"/>
          <w:szCs w:val="32"/>
        </w:rPr>
        <w:t> </w:t>
      </w:r>
    </w:p>
    <w:p w14:paraId="4FDFA95E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after="0" w:line="560" w:lineRule="exact"/>
        <w:ind w:right="880" w:rightChars="400"/>
        <w:jc w:val="right"/>
        <w:textAlignment w:val="auto"/>
        <w:rPr>
          <w:rFonts w:hint="eastAsia" w:ascii="仿宋_GB2312" w:hAnsi="Calibri" w:eastAsia="仿宋_GB2312" w:cs="宋体"/>
          <w:spacing w:val="2"/>
          <w:sz w:val="32"/>
          <w:szCs w:val="32"/>
          <w:lang w:val="en-US" w:eastAsia="zh-CN"/>
        </w:rPr>
      </w:pPr>
    </w:p>
    <w:p w14:paraId="33FF3D54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after="0" w:line="560" w:lineRule="exact"/>
        <w:ind w:right="880" w:rightChars="400"/>
        <w:jc w:val="right"/>
        <w:textAlignment w:val="auto"/>
        <w:rPr>
          <w:rFonts w:hint="eastAsia" w:ascii="仿宋_GB2312" w:hAnsi="Calibri" w:eastAsia="仿宋_GB2312" w:cs="宋体"/>
          <w:spacing w:val="2"/>
          <w:sz w:val="32"/>
          <w:szCs w:val="32"/>
        </w:rPr>
      </w:pPr>
      <w:r>
        <w:rPr>
          <w:rFonts w:hint="eastAsia" w:ascii="仿宋_GB2312" w:hAnsi="Calibri" w:eastAsia="仿宋_GB2312" w:cs="宋体"/>
          <w:spacing w:val="2"/>
          <w:sz w:val="32"/>
          <w:szCs w:val="32"/>
          <w:lang w:val="en-US" w:eastAsia="zh-CN"/>
        </w:rPr>
        <w:t>安溪县</w:t>
      </w:r>
      <w:r>
        <w:rPr>
          <w:rFonts w:hint="eastAsia" w:ascii="仿宋_GB2312" w:hAnsi="Calibri" w:eastAsia="仿宋_GB2312" w:cs="宋体"/>
          <w:spacing w:val="2"/>
          <w:sz w:val="32"/>
          <w:szCs w:val="32"/>
          <w:lang w:eastAsia="zh-CN"/>
        </w:rPr>
        <w:t>蓝田镇</w:t>
      </w:r>
      <w:r>
        <w:rPr>
          <w:rFonts w:hint="eastAsia" w:ascii="仿宋_GB2312" w:hAnsi="Calibri" w:eastAsia="仿宋_GB2312" w:cs="宋体"/>
          <w:spacing w:val="2"/>
          <w:sz w:val="32"/>
          <w:szCs w:val="32"/>
        </w:rPr>
        <w:t>人民政府</w:t>
      </w:r>
    </w:p>
    <w:p w14:paraId="3B3C69D3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after="0" w:line="560" w:lineRule="exact"/>
        <w:ind w:right="880" w:rightChars="400" w:firstLine="0"/>
        <w:jc w:val="center"/>
        <w:textAlignment w:val="auto"/>
        <w:rPr>
          <w:rFonts w:ascii="仿宋_GB2312" w:hAnsi="Calibri" w:eastAsia="仿宋_GB2312" w:cs="宋体"/>
          <w:spacing w:val="2"/>
          <w:sz w:val="32"/>
          <w:szCs w:val="32"/>
        </w:rPr>
      </w:pPr>
      <w:r>
        <w:rPr>
          <w:rFonts w:hint="eastAsia" w:ascii="仿宋_GB2312" w:hAnsi="Calibri" w:eastAsia="仿宋_GB2312" w:cs="宋体"/>
          <w:spacing w:val="2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Calibri" w:eastAsia="仿宋_GB2312" w:cs="宋体"/>
          <w:spacing w:val="2"/>
          <w:sz w:val="32"/>
          <w:szCs w:val="32"/>
        </w:rPr>
        <w:t>202</w:t>
      </w:r>
      <w:r>
        <w:rPr>
          <w:rFonts w:hint="eastAsia" w:ascii="仿宋_GB2312" w:hAnsi="Calibri" w:eastAsia="仿宋_GB2312" w:cs="宋体"/>
          <w:spacing w:val="2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年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>10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月</w:t>
      </w:r>
      <w:r>
        <w:rPr>
          <w:rFonts w:hint="eastAsia" w:ascii="仿宋_GB2312" w:hAnsi="微软雅黑" w:eastAsia="仿宋_GB2312" w:cs="宋体"/>
          <w:spacing w:val="2"/>
          <w:sz w:val="32"/>
          <w:szCs w:val="32"/>
          <w:lang w:val="en-US" w:eastAsia="zh-CN"/>
        </w:rPr>
        <w:t>26</w:t>
      </w:r>
      <w:r>
        <w:rPr>
          <w:rFonts w:hint="eastAsia" w:ascii="仿宋_GB2312" w:hAnsi="微软雅黑" w:eastAsia="仿宋_GB2312" w:cs="宋体"/>
          <w:spacing w:val="2"/>
          <w:sz w:val="32"/>
          <w:szCs w:val="32"/>
        </w:rPr>
        <w:t>日</w:t>
      </w:r>
    </w:p>
    <w:p w14:paraId="4F60182B">
      <w:pPr>
        <w:spacing w:line="220" w:lineRule="atLeast"/>
        <w:jc w:val="center"/>
        <w:rPr>
          <w:rFonts w:ascii="仿宋_GB2312" w:eastAsia="仿宋_GB2312"/>
          <w:sz w:val="32"/>
          <w:szCs w:val="32"/>
        </w:rPr>
      </w:pPr>
    </w:p>
    <w:p w14:paraId="392FE1EE">
      <w:pPr>
        <w:spacing w:line="220" w:lineRule="atLeast"/>
        <w:jc w:val="center"/>
        <w:rPr>
          <w:rFonts w:ascii="仿宋_GB2312" w:eastAsia="仿宋_GB2312"/>
          <w:sz w:val="32"/>
          <w:szCs w:val="32"/>
        </w:rPr>
      </w:pPr>
    </w:p>
    <w:p w14:paraId="7195B2A1">
      <w:pPr>
        <w:spacing w:line="220" w:lineRule="atLeast"/>
        <w:jc w:val="center"/>
        <w:rPr>
          <w:rFonts w:ascii="仿宋_GB2312" w:eastAsia="仿宋_GB2312"/>
          <w:sz w:val="32"/>
          <w:szCs w:val="32"/>
        </w:rPr>
      </w:pPr>
    </w:p>
    <w:p w14:paraId="4C171887">
      <w:pPr>
        <w:spacing w:line="220" w:lineRule="atLeast"/>
        <w:jc w:val="center"/>
        <w:rPr>
          <w:rFonts w:ascii="仿宋_GB2312" w:eastAsia="仿宋_GB2312"/>
          <w:sz w:val="32"/>
          <w:szCs w:val="32"/>
        </w:rPr>
      </w:pPr>
    </w:p>
    <w:p w14:paraId="48623D1C">
      <w:pPr>
        <w:spacing w:line="220" w:lineRule="atLeast"/>
        <w:jc w:val="center"/>
        <w:rPr>
          <w:rFonts w:ascii="仿宋_GB2312" w:eastAsia="仿宋_GB2312"/>
          <w:sz w:val="32"/>
          <w:szCs w:val="32"/>
        </w:rPr>
      </w:pPr>
    </w:p>
    <w:p w14:paraId="68922EBC">
      <w:pPr>
        <w:spacing w:line="220" w:lineRule="atLeast"/>
        <w:jc w:val="center"/>
        <w:rPr>
          <w:rFonts w:ascii="仿宋_GB2312" w:eastAsia="仿宋_GB2312"/>
          <w:sz w:val="32"/>
          <w:szCs w:val="32"/>
        </w:rPr>
      </w:pPr>
    </w:p>
    <w:p w14:paraId="7AD258AE">
      <w:pPr>
        <w:spacing w:line="220" w:lineRule="atLeast"/>
        <w:jc w:val="center"/>
        <w:rPr>
          <w:rFonts w:ascii="仿宋_GB2312" w:eastAsia="仿宋_GB2312"/>
          <w:sz w:val="32"/>
          <w:szCs w:val="32"/>
        </w:rPr>
      </w:pPr>
    </w:p>
    <w:p w14:paraId="5307B7D9">
      <w:pPr>
        <w:spacing w:line="220" w:lineRule="atLeast"/>
        <w:jc w:val="center"/>
        <w:rPr>
          <w:rFonts w:ascii="仿宋_GB2312" w:eastAsia="仿宋_GB2312"/>
          <w:sz w:val="32"/>
          <w:szCs w:val="32"/>
        </w:rPr>
      </w:pPr>
    </w:p>
    <w:p w14:paraId="598D3D87">
      <w:pPr>
        <w:spacing w:line="220" w:lineRule="atLeast"/>
        <w:jc w:val="center"/>
        <w:rPr>
          <w:rFonts w:ascii="仿宋_GB2312" w:eastAsia="仿宋_GB2312"/>
          <w:sz w:val="32"/>
          <w:szCs w:val="32"/>
        </w:rPr>
      </w:pPr>
    </w:p>
    <w:p w14:paraId="0152E083">
      <w:pPr>
        <w:widowControl/>
        <w:shd w:val="clear" w:color="auto" w:fill="FFFFFF"/>
        <w:spacing w:line="360" w:lineRule="auto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1C57318B">
      <w:pPr>
        <w:widowControl/>
        <w:shd w:val="clear" w:color="auto" w:fill="FFFFFF"/>
        <w:spacing w:line="360" w:lineRule="auto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6DE62444">
      <w:pPr>
        <w:widowControl/>
        <w:shd w:val="clear" w:color="auto" w:fill="FFFFFF"/>
        <w:spacing w:line="360" w:lineRule="auto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3445C842">
      <w:pPr>
        <w:widowControl/>
        <w:shd w:val="clear" w:color="auto" w:fill="FFFFFF"/>
        <w:spacing w:line="360" w:lineRule="auto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187796C">
      <w:pPr>
        <w:widowControl/>
        <w:shd w:val="clear" w:color="auto" w:fill="FFFFFF"/>
        <w:spacing w:line="360" w:lineRule="auto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355AE3C1">
      <w:pPr>
        <w:widowControl/>
        <w:shd w:val="clear" w:color="auto" w:fill="FFFFFF"/>
        <w:spacing w:line="360" w:lineRule="auto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36FBFEE5">
      <w:pPr>
        <w:widowControl/>
        <w:shd w:val="clear" w:color="auto" w:fill="FFFFFF"/>
        <w:spacing w:line="360" w:lineRule="auto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附件</w:t>
      </w:r>
    </w:p>
    <w:p w14:paraId="1B47CFB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1.基本信息表</w:t>
      </w:r>
    </w:p>
    <w:tbl>
      <w:tblPr>
        <w:tblStyle w:val="5"/>
        <w:tblpPr w:leftFromText="180" w:rightFromText="180" w:vertAnchor="text" w:horzAnchor="page" w:tblpXSpec="center" w:tblpY="46"/>
        <w:tblOverlap w:val="never"/>
        <w:tblW w:w="9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7839"/>
      </w:tblGrid>
      <w:tr w14:paraId="525DB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5" w:hRule="atLeast"/>
          <w:jc w:val="center"/>
        </w:trPr>
        <w:tc>
          <w:tcPr>
            <w:tcW w:w="1680" w:type="dxa"/>
            <w:noWrap/>
            <w:vAlign w:val="center"/>
          </w:tcPr>
          <w:p w14:paraId="7CF18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center"/>
              <w:rPr>
                <w:rFonts w:ascii="等线" w:hAnsi="等线" w:eastAsia="等线" w:cs="等线"/>
                <w:color w:val="000000"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村庄基本情况</w:t>
            </w:r>
          </w:p>
        </w:tc>
        <w:tc>
          <w:tcPr>
            <w:tcW w:w="7839" w:type="dxa"/>
            <w:noWrap w:val="0"/>
            <w:vAlign w:val="center"/>
          </w:tcPr>
          <w:p w14:paraId="591C5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区位：</w:t>
            </w:r>
          </w:p>
          <w:p w14:paraId="52F3A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  <w:t xml:space="preserve">  蓝一村附近靠近镇区较为便捷，境内县道347穿境而过，距离蓝一村最近的高速是s21,感德出入口距离为24公里，车程约为38分钟。</w:t>
            </w:r>
          </w:p>
          <w:p w14:paraId="32347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人口：</w:t>
            </w:r>
          </w:p>
          <w:p w14:paraId="0DFF7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  <w:t xml:space="preserve">  蓝一村共有9个自然村：东山尾、前都、寨格、南后、石古山、笔仔尾、荇富、大坪祖、鹅目；共有18个村民小组、946户，人口3350人，常住人口967人。</w:t>
            </w:r>
          </w:p>
          <w:p w14:paraId="0A58A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自然条件：</w:t>
            </w:r>
          </w:p>
          <w:p w14:paraId="2D1EF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jc w:val="both"/>
              <w:textAlignment w:val="center"/>
              <w:rPr>
                <w:rFonts w:hint="default" w:ascii="等线" w:hAnsi="等线" w:eastAsia="等线" w:cs="等线"/>
                <w:color w:val="000000"/>
                <w:sz w:val="13"/>
                <w:szCs w:val="13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  <w:t>蓝田乡属丘陵山地，地处戴云山东南坡，戴云山支脉从漳平市延伸安溪境内，地表自西北向东南倾斜。境内多是崇山峻岭，一座座奔如群马、舞似龙蛇、立如 熊貔的郡峰，一片黛绿，秀色迷人。最高山峰为"朝天山”，海拔1368米，山势高耸峭拔，气势雄伟，为安溪西北部名山，与长坑乡的达摩岩遥互相望，俗称“达摩对朝天，大 小十八仙”，指的是之间有十八座奇峰绵延。境内次峰“国公山”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  <w:t>，海拔1045米，为乡域南部跨越二乡之名山，森林面积共3万多亩，树木品种繁多。进德村南有文衡山，尖顶 如刀切斧削，岩壑幽邃，清涧茂林，奇花异草，赏心悦目。</w:t>
            </w:r>
          </w:p>
        </w:tc>
      </w:tr>
      <w:tr w14:paraId="3807B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680" w:type="dxa"/>
            <w:noWrap/>
            <w:vAlign w:val="center"/>
          </w:tcPr>
          <w:p w14:paraId="23D7A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规划编制单位</w:t>
            </w:r>
          </w:p>
        </w:tc>
        <w:tc>
          <w:tcPr>
            <w:tcW w:w="7839" w:type="dxa"/>
            <w:noWrap/>
            <w:vAlign w:val="center"/>
          </w:tcPr>
          <w:p w14:paraId="6C1C5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中弘设计集团有限公司</w:t>
            </w:r>
          </w:p>
        </w:tc>
      </w:tr>
      <w:tr w14:paraId="66F6C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680" w:type="dxa"/>
            <w:noWrap/>
            <w:vAlign w:val="center"/>
          </w:tcPr>
          <w:p w14:paraId="7CCA0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规划组织编制主体</w:t>
            </w:r>
          </w:p>
        </w:tc>
        <w:tc>
          <w:tcPr>
            <w:tcW w:w="7839" w:type="dxa"/>
            <w:noWrap/>
            <w:vAlign w:val="center"/>
          </w:tcPr>
          <w:p w14:paraId="67419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安溪县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蓝田镇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</w:tr>
      <w:tr w14:paraId="04F7D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680" w:type="dxa"/>
            <w:noWrap/>
            <w:vAlign w:val="center"/>
          </w:tcPr>
          <w:p w14:paraId="6EA92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规划审批主体</w:t>
            </w:r>
          </w:p>
        </w:tc>
        <w:tc>
          <w:tcPr>
            <w:tcW w:w="7839" w:type="dxa"/>
            <w:noWrap/>
            <w:vAlign w:val="center"/>
          </w:tcPr>
          <w:p w14:paraId="35074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安溪县人民政府</w:t>
            </w:r>
          </w:p>
        </w:tc>
      </w:tr>
      <w:tr w14:paraId="5F7D7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680" w:type="dxa"/>
            <w:noWrap/>
            <w:vAlign w:val="center"/>
          </w:tcPr>
          <w:p w14:paraId="03F06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规划期限</w:t>
            </w:r>
          </w:p>
        </w:tc>
        <w:tc>
          <w:tcPr>
            <w:tcW w:w="7839" w:type="dxa"/>
            <w:noWrap/>
            <w:vAlign w:val="center"/>
          </w:tcPr>
          <w:p w14:paraId="68344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-2035年</w:t>
            </w:r>
          </w:p>
        </w:tc>
      </w:tr>
      <w:tr w14:paraId="11F1B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680" w:type="dxa"/>
            <w:noWrap/>
            <w:vAlign w:val="center"/>
          </w:tcPr>
          <w:p w14:paraId="5702F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规划范围</w:t>
            </w:r>
          </w:p>
        </w:tc>
        <w:tc>
          <w:tcPr>
            <w:tcW w:w="7839" w:type="dxa"/>
            <w:noWrap/>
            <w:vAlign w:val="center"/>
          </w:tcPr>
          <w:p w14:paraId="08D86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第三次国土调查的蓝一村范围</w:t>
            </w:r>
          </w:p>
        </w:tc>
      </w:tr>
      <w:tr w14:paraId="34235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680" w:type="dxa"/>
            <w:noWrap/>
            <w:vAlign w:val="center"/>
          </w:tcPr>
          <w:p w14:paraId="32F29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报批机关</w:t>
            </w:r>
          </w:p>
        </w:tc>
        <w:tc>
          <w:tcPr>
            <w:tcW w:w="7839" w:type="dxa"/>
            <w:noWrap/>
            <w:vAlign w:val="center"/>
          </w:tcPr>
          <w:p w14:paraId="56F5E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安溪县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蓝田镇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</w:tr>
      <w:tr w14:paraId="6CE42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680" w:type="dxa"/>
            <w:noWrap/>
            <w:vAlign w:val="center"/>
          </w:tcPr>
          <w:p w14:paraId="227E4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批复时间</w:t>
            </w:r>
          </w:p>
        </w:tc>
        <w:tc>
          <w:tcPr>
            <w:tcW w:w="7839" w:type="dxa"/>
            <w:noWrap/>
            <w:vAlign w:val="center"/>
          </w:tcPr>
          <w:p w14:paraId="0048B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202X年XX月XX日</w:t>
            </w:r>
          </w:p>
        </w:tc>
      </w:tr>
    </w:tbl>
    <w:p w14:paraId="56F08EB7">
      <w:pPr>
        <w:widowControl/>
        <w:numPr>
          <w:ilvl w:val="0"/>
          <w:numId w:val="0"/>
        </w:numPr>
        <w:shd w:val="clear" w:color="auto" w:fill="FFFFFF"/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2.修编前后对比图</w:t>
      </w:r>
      <w:r>
        <w:rPr>
          <w:rFonts w:hint="eastAsia" w:ascii="仿宋" w:hAnsi="仿宋" w:eastAsia="仿宋" w:cs="仿宋"/>
          <w:color w:val="000000"/>
          <w:kern w:val="0"/>
          <w:sz w:val="24"/>
          <w:shd w:val="clear" w:color="auto" w:fill="FFFFFF"/>
          <w:lang w:bidi="ar"/>
        </w:rPr>
        <w:drawing>
          <wp:inline distT="0" distB="0" distL="114300" distR="114300">
            <wp:extent cx="5511800" cy="3897630"/>
            <wp:effectExtent l="0" t="0" r="12700" b="7620"/>
            <wp:docPr id="1" name="图片 1" descr="G:/安溪吴总/05-安溪县蓝田镇蓝一村村庄规划修编（2026-2035）/04成果文件/完整版成果/02-01 规划图集/图集/修编前后对比图.jpg修编前后对比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:/安溪吴总/05-安溪县蓝田镇蓝一村村庄规划修编（2026-2035）/04成果文件/完整版成果/02-01 规划图集/图集/修编前后对比图.jpg修编前后对比图"/>
                    <pic:cNvPicPr>
                      <a:picLocks noChangeAspect="1"/>
                    </pic:cNvPicPr>
                  </pic:nvPicPr>
                  <pic:blipFill>
                    <a:blip r:embed="rId5"/>
                    <a:srcRect t="39" b="39"/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5EB78">
      <w:pPr>
        <w:widowControl/>
        <w:numPr>
          <w:ilvl w:val="0"/>
          <w:numId w:val="0"/>
        </w:numPr>
        <w:shd w:val="clear" w:color="auto" w:fill="FFFFFF"/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3.村域综合规划图</w:t>
      </w:r>
      <w:r>
        <w:rPr>
          <w:rFonts w:hint="eastAsia" w:ascii="仿宋" w:hAnsi="仿宋" w:eastAsia="仿宋" w:cs="仿宋"/>
          <w:color w:val="000000"/>
          <w:kern w:val="0"/>
          <w:sz w:val="24"/>
          <w:shd w:val="clear" w:color="auto" w:fill="FFFFFF"/>
          <w:lang w:bidi="ar"/>
        </w:rPr>
        <w:drawing>
          <wp:inline distT="0" distB="0" distL="114300" distR="114300">
            <wp:extent cx="5525770" cy="3907155"/>
            <wp:effectExtent l="0" t="0" r="17780" b="17145"/>
            <wp:docPr id="2" name="图片 2" descr="G:/安溪吴总/05-安溪县蓝田镇蓝一村村庄规划修编（2026-2035）/04成果文件/完整版成果/02-01 规划图集/图集/村域综合规划图.jpg村域综合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:/安溪吴总/05-安溪县蓝田镇蓝一村村庄规划修编（2026-2035）/04成果文件/完整版成果/02-01 规划图集/图集/村域综合规划图.jpg村域综合规划图"/>
                    <pic:cNvPicPr>
                      <a:picLocks noChangeAspect="1"/>
                    </pic:cNvPicPr>
                  </pic:nvPicPr>
                  <pic:blipFill>
                    <a:blip r:embed="rId6"/>
                    <a:srcRect t="39" b="39"/>
                    <a:stretch>
                      <a:fillRect/>
                    </a:stretch>
                  </pic:blipFill>
                  <pic:spPr>
                    <a:xfrm>
                      <a:off x="0" y="0"/>
                      <a:ext cx="5525770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D931E">
      <w:pPr>
        <w:widowControl/>
        <w:numPr>
          <w:ilvl w:val="0"/>
          <w:numId w:val="0"/>
        </w:numPr>
        <w:shd w:val="clear" w:color="auto" w:fill="FFFFFF"/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4.主要农村居民点总平面示意图</w:t>
      </w:r>
      <w:r>
        <w:rPr>
          <w:rFonts w:hint="eastAsia" w:ascii="仿宋" w:hAnsi="仿宋" w:eastAsia="仿宋" w:cs="仿宋"/>
          <w:color w:val="000000"/>
          <w:kern w:val="0"/>
          <w:sz w:val="24"/>
          <w:shd w:val="clear" w:color="auto" w:fill="FFFFFF"/>
          <w:lang w:bidi="ar"/>
        </w:rPr>
        <w:drawing>
          <wp:inline distT="0" distB="0" distL="114300" distR="114300">
            <wp:extent cx="5591810" cy="3954145"/>
            <wp:effectExtent l="0" t="0" r="8890" b="8255"/>
            <wp:docPr id="3" name="图片 3" descr="G:/安溪吴总/05-安溪县蓝田镇蓝一村村庄规划修编（2026-2035）/04成果文件/完整版成果/02-01 规划图集/图集/主要农村居民点总平面示意图.jpg主要农村居民点总平面示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:/安溪吴总/05-安溪县蓝田镇蓝一村村庄规划修编（2026-2035）/04成果文件/完整版成果/02-01 规划图集/图集/主要农村居民点总平面示意图.jpg主要农村居民点总平面示意图"/>
                    <pic:cNvPicPr>
                      <a:picLocks noChangeAspect="1"/>
                    </pic:cNvPicPr>
                  </pic:nvPicPr>
                  <pic:blipFill>
                    <a:blip r:embed="rId7"/>
                    <a:srcRect t="39" b="39"/>
                    <a:stretch>
                      <a:fillRect/>
                    </a:stretch>
                  </pic:blipFill>
                  <pic:spPr>
                    <a:xfrm>
                      <a:off x="0" y="0"/>
                      <a:ext cx="559181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90B43">
      <w:pPr>
        <w:widowControl/>
        <w:numPr>
          <w:ilvl w:val="0"/>
          <w:numId w:val="0"/>
        </w:numPr>
        <w:shd w:val="clear" w:color="auto" w:fill="FFFFFF"/>
        <w:spacing w:line="360" w:lineRule="auto"/>
        <w:jc w:val="left"/>
        <w:rPr>
          <w:rFonts w:hint="default" w:ascii="仿宋" w:hAnsi="仿宋" w:eastAsia="仿宋" w:cs="仿宋"/>
          <w:color w:val="000000"/>
          <w:kern w:val="0"/>
          <w:sz w:val="24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5.农村居民点规划布局图</w:t>
      </w:r>
      <w:r>
        <w:rPr>
          <w:rFonts w:hint="eastAsia" w:ascii="仿宋" w:hAnsi="仿宋" w:eastAsia="仿宋" w:cs="仿宋"/>
          <w:color w:val="000000"/>
          <w:kern w:val="0"/>
          <w:sz w:val="24"/>
          <w:shd w:val="clear" w:color="auto" w:fill="FFFFFF"/>
          <w:lang w:bidi="ar"/>
        </w:rPr>
        <w:drawing>
          <wp:inline distT="0" distB="0" distL="114300" distR="114300">
            <wp:extent cx="5511165" cy="3896995"/>
            <wp:effectExtent l="0" t="0" r="13335" b="8255"/>
            <wp:docPr id="4" name="图片 4" descr="G:/安溪吴总/05-安溪县蓝田镇蓝一村村庄规划修编（2026-2035）/04成果文件/完整版成果/02-01 规划图集/图集/农村居民点规划布局图.jpg农村居民点规划布局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G:/安溪吴总/05-安溪县蓝田镇蓝一村村庄规划修编（2026-2035）/04成果文件/完整版成果/02-01 规划图集/图集/农村居民点规划布局图.jpg农村居民点规划布局图"/>
                    <pic:cNvPicPr>
                      <a:picLocks noChangeAspect="1"/>
                    </pic:cNvPicPr>
                  </pic:nvPicPr>
                  <pic:blipFill>
                    <a:blip r:embed="rId8"/>
                    <a:srcRect t="39" b="39"/>
                    <a:stretch>
                      <a:fillRect/>
                    </a:stretch>
                  </pic:blipFill>
                  <pic:spPr>
                    <a:xfrm>
                      <a:off x="0" y="0"/>
                      <a:ext cx="5511165" cy="389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17" w:right="1474" w:bottom="1417" w:left="158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451AA56-2CC7-40EE-A04E-E37A3382724E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30E666AF-5A98-4F54-A397-9511C14BF21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9B88572-EC6B-475B-A9EC-E2C847BC655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690EE5A6-DB3B-4130-8A12-AC29A862F84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E69CB5A-37AA-4CE0-B9E8-7EDC605AEA2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wM2QzYTdkNDk4Nzc1MGY1MjI5OWZlYWFlMzU3MmIifQ=="/>
  </w:docVars>
  <w:rsids>
    <w:rsidRoot w:val="00D31D50"/>
    <w:rsid w:val="00042C33"/>
    <w:rsid w:val="000C5448"/>
    <w:rsid w:val="0012640E"/>
    <w:rsid w:val="001979D4"/>
    <w:rsid w:val="00227B2B"/>
    <w:rsid w:val="00323B43"/>
    <w:rsid w:val="00346D53"/>
    <w:rsid w:val="00363A61"/>
    <w:rsid w:val="003C568B"/>
    <w:rsid w:val="003D37D8"/>
    <w:rsid w:val="00426133"/>
    <w:rsid w:val="004358AB"/>
    <w:rsid w:val="00453507"/>
    <w:rsid w:val="004A11C3"/>
    <w:rsid w:val="0058147E"/>
    <w:rsid w:val="005E067F"/>
    <w:rsid w:val="005E4362"/>
    <w:rsid w:val="005F35A3"/>
    <w:rsid w:val="006300A4"/>
    <w:rsid w:val="006E619E"/>
    <w:rsid w:val="00776D5D"/>
    <w:rsid w:val="007C3CD3"/>
    <w:rsid w:val="008038F8"/>
    <w:rsid w:val="00805F12"/>
    <w:rsid w:val="00884B6E"/>
    <w:rsid w:val="008B7726"/>
    <w:rsid w:val="008C389F"/>
    <w:rsid w:val="008D1A33"/>
    <w:rsid w:val="009C2A3F"/>
    <w:rsid w:val="009D1244"/>
    <w:rsid w:val="009E2916"/>
    <w:rsid w:val="009F397B"/>
    <w:rsid w:val="00A616F1"/>
    <w:rsid w:val="00A9413C"/>
    <w:rsid w:val="00B614FE"/>
    <w:rsid w:val="00BD31AD"/>
    <w:rsid w:val="00BF1D50"/>
    <w:rsid w:val="00C10E3F"/>
    <w:rsid w:val="00C3414F"/>
    <w:rsid w:val="00CA177A"/>
    <w:rsid w:val="00CD6C3D"/>
    <w:rsid w:val="00D2495A"/>
    <w:rsid w:val="00D31D50"/>
    <w:rsid w:val="00D74A35"/>
    <w:rsid w:val="00DF5F4D"/>
    <w:rsid w:val="00E2674A"/>
    <w:rsid w:val="00E55CB4"/>
    <w:rsid w:val="00F222FB"/>
    <w:rsid w:val="00FC4140"/>
    <w:rsid w:val="00FE55DB"/>
    <w:rsid w:val="04874033"/>
    <w:rsid w:val="0A3C34DB"/>
    <w:rsid w:val="0A825391"/>
    <w:rsid w:val="0AC05EBA"/>
    <w:rsid w:val="0B892750"/>
    <w:rsid w:val="10413B28"/>
    <w:rsid w:val="171951D0"/>
    <w:rsid w:val="194B1805"/>
    <w:rsid w:val="19685AF2"/>
    <w:rsid w:val="1A393A12"/>
    <w:rsid w:val="1EB8717C"/>
    <w:rsid w:val="2959155B"/>
    <w:rsid w:val="2C703495"/>
    <w:rsid w:val="2F0361F1"/>
    <w:rsid w:val="2FEA115F"/>
    <w:rsid w:val="300A35B0"/>
    <w:rsid w:val="308C4083"/>
    <w:rsid w:val="3112096E"/>
    <w:rsid w:val="32121533"/>
    <w:rsid w:val="33DF1CAD"/>
    <w:rsid w:val="3641616A"/>
    <w:rsid w:val="397A2A75"/>
    <w:rsid w:val="3C1C52F0"/>
    <w:rsid w:val="3EFB0C93"/>
    <w:rsid w:val="3EFC4735"/>
    <w:rsid w:val="4013609D"/>
    <w:rsid w:val="41182BDC"/>
    <w:rsid w:val="47434F02"/>
    <w:rsid w:val="47633879"/>
    <w:rsid w:val="4A9B695A"/>
    <w:rsid w:val="4E775E5C"/>
    <w:rsid w:val="4F4C1097"/>
    <w:rsid w:val="507F724A"/>
    <w:rsid w:val="51A056CA"/>
    <w:rsid w:val="52306A4E"/>
    <w:rsid w:val="52394972"/>
    <w:rsid w:val="52BB68B3"/>
    <w:rsid w:val="5B9B13DC"/>
    <w:rsid w:val="612B4FB0"/>
    <w:rsid w:val="61CB22EF"/>
    <w:rsid w:val="641A1704"/>
    <w:rsid w:val="670F2C7E"/>
    <w:rsid w:val="676034DA"/>
    <w:rsid w:val="69656F1C"/>
    <w:rsid w:val="69D41F5D"/>
    <w:rsid w:val="720D50A8"/>
    <w:rsid w:val="7935394B"/>
    <w:rsid w:val="7B5A49B8"/>
    <w:rsid w:val="F7F7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5</Pages>
  <Words>519</Words>
  <Characters>591</Characters>
  <Lines>5</Lines>
  <Paragraphs>1</Paragraphs>
  <TotalTime>11</TotalTime>
  <ScaleCrop>false</ScaleCrop>
  <LinksUpToDate>false</LinksUpToDate>
  <CharactersWithSpaces>632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2024-04-24T17:19:00Z</dcterms:created>
  <dc:creator>Administrator</dc:creator>
  <cp:lastModifiedBy>斜阳染幽草</cp:lastModifiedBy>
  <cp:lastPrinted>2026-10-29T08:12:00Z</cp:lastPrinted>
  <dcterms:modified xsi:type="dcterms:W3CDTF">2026-10-30T03:07:29Z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0729F03195D44B169B1C372A585E64A6_13</vt:lpwstr>
  </property>
  <property fmtid="{D5CDD505-2E9C-101B-9397-08002B2CF9AE}" pid="4" name="KSOTemplateDocerSaveRecord">
    <vt:lpwstr>eyJoZGlkIjoiYjc5ZjQ4ZTllNmZiZDM4N2MwZDg2N2ZiODg3ZjhkMTUiLCJ1c2VySWQiOiIzMTQwNzIyMDgifQ==</vt:lpwstr>
  </property>
</Properties>
</file>